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053912" w:rsidRPr="00B36466" w:rsidTr="00715CD6">
        <w:trPr>
          <w:trHeight w:val="4260"/>
        </w:trPr>
        <w:tc>
          <w:tcPr>
            <w:tcW w:w="3851" w:type="dxa"/>
          </w:tcPr>
          <w:p w:rsidR="0054156A" w:rsidRPr="00B36466" w:rsidRDefault="0054156A" w:rsidP="0054156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iCs/>
              </w:rPr>
              <w:t xml:space="preserve"> </w:t>
            </w:r>
            <w:r w:rsidRPr="00B364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6466">
              <w:rPr>
                <w:rFonts w:ascii="Times New Roman" w:hAnsi="Times New Roman"/>
              </w:rPr>
              <w:t xml:space="preserve">                </w:t>
            </w:r>
            <w:r w:rsidRPr="00B3646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1AEF645" wp14:editId="002A73A3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6A" w:rsidRPr="00B36466" w:rsidRDefault="0054156A" w:rsidP="0054156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           Администрация</w:t>
            </w:r>
          </w:p>
          <w:p w:rsidR="0054156A" w:rsidRPr="00B36466" w:rsidRDefault="0054156A" w:rsidP="0054156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сельского поселения Каменка</w:t>
            </w:r>
          </w:p>
          <w:p w:rsidR="0054156A" w:rsidRPr="00B36466" w:rsidRDefault="0054156A" w:rsidP="0054156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    муниципального района</w:t>
            </w:r>
          </w:p>
          <w:p w:rsidR="0054156A" w:rsidRPr="00B36466" w:rsidRDefault="0054156A" w:rsidP="0054156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B36466">
              <w:rPr>
                <w:rFonts w:ascii="Times New Roman" w:hAnsi="Times New Roman"/>
              </w:rPr>
              <w:t>Шенталинский</w:t>
            </w:r>
            <w:proofErr w:type="spellEnd"/>
          </w:p>
          <w:p w:rsidR="0054156A" w:rsidRPr="00B36466" w:rsidRDefault="0054156A" w:rsidP="0054156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        Самарской области</w:t>
            </w:r>
          </w:p>
          <w:p w:rsidR="0054156A" w:rsidRPr="00B36466" w:rsidRDefault="0054156A" w:rsidP="0054156A">
            <w:pPr>
              <w:pStyle w:val="10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B36466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B36466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54156A" w:rsidRPr="00B36466" w:rsidRDefault="0054156A" w:rsidP="0054156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  от </w:t>
            </w:r>
            <w:r w:rsidR="00B36466" w:rsidRPr="00B36466">
              <w:rPr>
                <w:rFonts w:ascii="Times New Roman" w:hAnsi="Times New Roman"/>
              </w:rPr>
              <w:t>05.05.2021 г.</w:t>
            </w:r>
            <w:r w:rsidRPr="00B36466">
              <w:rPr>
                <w:rFonts w:ascii="Times New Roman" w:hAnsi="Times New Roman"/>
              </w:rPr>
              <w:t xml:space="preserve"> №  </w:t>
            </w:r>
            <w:r w:rsidR="00B36466" w:rsidRPr="00B36466">
              <w:rPr>
                <w:rFonts w:ascii="Times New Roman" w:hAnsi="Times New Roman"/>
              </w:rPr>
              <w:t>20-п</w:t>
            </w:r>
            <w:r w:rsidRPr="00B36466">
              <w:rPr>
                <w:rFonts w:ascii="Times New Roman" w:hAnsi="Times New Roman"/>
              </w:rPr>
              <w:t xml:space="preserve"> </w:t>
            </w:r>
          </w:p>
          <w:p w:rsidR="0054156A" w:rsidRPr="00B36466" w:rsidRDefault="0054156A" w:rsidP="0054156A">
            <w:pPr>
              <w:spacing w:line="240" w:lineRule="auto"/>
              <w:contextualSpacing/>
              <w:rPr>
                <w:rFonts w:ascii="Times New Roman" w:hAnsi="Times New Roman"/>
                <w:sz w:val="16"/>
              </w:rPr>
            </w:pPr>
            <w:r w:rsidRPr="00B36466">
              <w:rPr>
                <w:rFonts w:ascii="Times New Roman" w:hAnsi="Times New Roman"/>
                <w:sz w:val="16"/>
              </w:rPr>
              <w:t xml:space="preserve">           с. Каменка, ул</w:t>
            </w:r>
            <w:proofErr w:type="gramStart"/>
            <w:r w:rsidRPr="00B36466">
              <w:rPr>
                <w:rFonts w:ascii="Times New Roman" w:hAnsi="Times New Roman"/>
                <w:sz w:val="16"/>
              </w:rPr>
              <w:t>.У</w:t>
            </w:r>
            <w:proofErr w:type="gramEnd"/>
            <w:r w:rsidRPr="00B36466">
              <w:rPr>
                <w:rFonts w:ascii="Times New Roman" w:hAnsi="Times New Roman"/>
                <w:sz w:val="16"/>
              </w:rPr>
              <w:t>правленческая, 5</w:t>
            </w:r>
          </w:p>
          <w:p w:rsidR="0054156A" w:rsidRPr="00B36466" w:rsidRDefault="0054156A" w:rsidP="0054156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6466">
              <w:rPr>
                <w:rFonts w:ascii="Times New Roman" w:hAnsi="Times New Roman"/>
                <w:sz w:val="16"/>
                <w:szCs w:val="16"/>
              </w:rPr>
              <w:t xml:space="preserve">                    т. 8-(84652)-51-2—42, </w:t>
            </w:r>
          </w:p>
          <w:p w:rsidR="0054156A" w:rsidRPr="00B36466" w:rsidRDefault="0054156A" w:rsidP="0054156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6466">
              <w:rPr>
                <w:rFonts w:ascii="Times New Roman" w:hAnsi="Times New Roman"/>
                <w:sz w:val="16"/>
                <w:szCs w:val="16"/>
              </w:rPr>
              <w:t xml:space="preserve">                 факс 8-(84652)-51-2—43 </w:t>
            </w:r>
          </w:p>
          <w:p w:rsidR="0054156A" w:rsidRPr="00B36466" w:rsidRDefault="0054156A" w:rsidP="0054156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6466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proofErr w:type="gramStart"/>
            <w:r w:rsidRPr="00B36466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B36466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B36466">
              <w:rPr>
                <w:rFonts w:ascii="Times New Roman" w:hAnsi="Times New Roman"/>
                <w:sz w:val="16"/>
                <w:szCs w:val="16"/>
              </w:rPr>
              <w:t>mail</w:t>
            </w:r>
            <w:proofErr w:type="spellEnd"/>
            <w:r w:rsidRPr="00B3646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B36466">
              <w:rPr>
                <w:rFonts w:ascii="Times New Roman" w:hAnsi="Times New Roman"/>
                <w:sz w:val="16"/>
                <w:szCs w:val="16"/>
              </w:rPr>
              <w:t>kamenka@shentala</w:t>
            </w:r>
            <w:proofErr w:type="spellEnd"/>
            <w:r w:rsidRPr="00B36466">
              <w:rPr>
                <w:rFonts w:ascii="Times New Roman" w:hAnsi="Times New Roman"/>
                <w:sz w:val="16"/>
                <w:szCs w:val="16"/>
              </w:rPr>
              <w:t>.</w:t>
            </w:r>
            <w:r w:rsidRPr="00B36466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B36466">
              <w:rPr>
                <w:rFonts w:ascii="Times New Roman" w:hAnsi="Times New Roman"/>
                <w:sz w:val="16"/>
                <w:szCs w:val="16"/>
              </w:rPr>
              <w:t>u</w:t>
            </w:r>
          </w:p>
          <w:p w:rsidR="0054156A" w:rsidRPr="00B36466" w:rsidRDefault="0054156A" w:rsidP="005415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</w:tcPr>
          <w:p w:rsidR="0054156A" w:rsidRPr="00B36466" w:rsidRDefault="00B36466" w:rsidP="00891364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</w:rPr>
            </w:pPr>
            <w:r w:rsidRPr="00B36466">
              <w:rPr>
                <w:rFonts w:ascii="Times New Roman" w:hAnsi="Times New Roman"/>
                <w:b/>
                <w:i/>
                <w:iCs/>
                <w:sz w:val="28"/>
              </w:rPr>
              <w:t xml:space="preserve"> </w:t>
            </w:r>
          </w:p>
        </w:tc>
      </w:tr>
    </w:tbl>
    <w:p w:rsidR="00B36466" w:rsidRPr="00B36466" w:rsidRDefault="00B36466" w:rsidP="00B3646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36466">
        <w:rPr>
          <w:rFonts w:ascii="Times New Roman" w:hAnsi="Times New Roman" w:cs="Times New Roman"/>
          <w:b/>
          <w:sz w:val="28"/>
        </w:rPr>
        <w:t xml:space="preserve">Об утверждении муниципальной программы  «Энергосбережение и повышение энергетической эффективности на территории сельского поселения </w:t>
      </w:r>
      <w:r>
        <w:rPr>
          <w:rFonts w:ascii="Times New Roman" w:hAnsi="Times New Roman" w:cs="Times New Roman"/>
          <w:b/>
          <w:sz w:val="28"/>
        </w:rPr>
        <w:t>Каменка</w:t>
      </w:r>
      <w:r w:rsidRPr="00B36466">
        <w:rPr>
          <w:rFonts w:ascii="Times New Roman" w:hAnsi="Times New Roman" w:cs="Times New Roman"/>
          <w:b/>
          <w:sz w:val="28"/>
        </w:rPr>
        <w:t xml:space="preserve"> муниципального района </w:t>
      </w:r>
      <w:proofErr w:type="spellStart"/>
      <w:r w:rsidRPr="00B36466">
        <w:rPr>
          <w:rFonts w:ascii="Times New Roman" w:hAnsi="Times New Roman" w:cs="Times New Roman"/>
          <w:b/>
          <w:sz w:val="28"/>
        </w:rPr>
        <w:t>Шенталинский</w:t>
      </w:r>
      <w:proofErr w:type="spellEnd"/>
      <w:r w:rsidRPr="00B36466">
        <w:rPr>
          <w:rFonts w:ascii="Times New Roman" w:hAnsi="Times New Roman" w:cs="Times New Roman"/>
          <w:b/>
          <w:sz w:val="28"/>
        </w:rPr>
        <w:t xml:space="preserve"> Самарской области  на 2021-20</w:t>
      </w:r>
      <w:r w:rsidRPr="00B36466">
        <w:rPr>
          <w:rFonts w:ascii="Times New Roman" w:hAnsi="Times New Roman" w:cs="Times New Roman"/>
          <w:b/>
          <w:sz w:val="28"/>
          <w:szCs w:val="28"/>
        </w:rPr>
        <w:t>25</w:t>
      </w:r>
      <w:r w:rsidRPr="00B36466">
        <w:rPr>
          <w:rFonts w:ascii="Times New Roman" w:hAnsi="Times New Roman" w:cs="Times New Roman"/>
          <w:b/>
          <w:sz w:val="28"/>
        </w:rPr>
        <w:t xml:space="preserve"> годы»</w:t>
      </w:r>
    </w:p>
    <w:p w:rsidR="00B36466" w:rsidRPr="00B36466" w:rsidRDefault="00B36466" w:rsidP="00B364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466" w:rsidRPr="00B36466" w:rsidRDefault="00B36466" w:rsidP="00B36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Каменка</w:t>
      </w:r>
      <w:r w:rsidRPr="00B36466">
        <w:rPr>
          <w:rFonts w:ascii="Times New Roman" w:hAnsi="Times New Roman" w:cs="Times New Roman"/>
          <w:sz w:val="28"/>
          <w:szCs w:val="28"/>
        </w:rPr>
        <w:t xml:space="preserve"> </w:t>
      </w:r>
      <w:r w:rsidRPr="00B3646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B36466">
        <w:rPr>
          <w:rFonts w:ascii="Times New Roman" w:hAnsi="Times New Roman" w:cs="Times New Roman"/>
          <w:sz w:val="28"/>
        </w:rPr>
        <w:t>Шенталинский</w:t>
      </w:r>
      <w:proofErr w:type="spellEnd"/>
      <w:r w:rsidRPr="00B36466">
        <w:rPr>
          <w:rFonts w:ascii="Times New Roman" w:hAnsi="Times New Roman" w:cs="Times New Roman"/>
          <w:sz w:val="28"/>
        </w:rPr>
        <w:t xml:space="preserve"> Самарской области</w:t>
      </w:r>
      <w:r w:rsidRPr="00B3646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Каменка</w:t>
      </w:r>
      <w:r w:rsidRPr="00B36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66" w:rsidRPr="00B36466" w:rsidRDefault="00B36466" w:rsidP="00B36466">
      <w:pPr>
        <w:pStyle w:val="a5"/>
        <w:ind w:firstLine="709"/>
        <w:jc w:val="center"/>
        <w:rPr>
          <w:sz w:val="28"/>
          <w:szCs w:val="28"/>
        </w:rPr>
      </w:pPr>
    </w:p>
    <w:p w:rsidR="00B36466" w:rsidRPr="00B36466" w:rsidRDefault="00B36466" w:rsidP="00B36466">
      <w:pPr>
        <w:pStyle w:val="a5"/>
        <w:ind w:firstLine="709"/>
        <w:jc w:val="center"/>
        <w:rPr>
          <w:b/>
          <w:sz w:val="28"/>
          <w:szCs w:val="28"/>
        </w:rPr>
      </w:pPr>
      <w:r w:rsidRPr="00B36466">
        <w:rPr>
          <w:b/>
          <w:sz w:val="28"/>
          <w:szCs w:val="28"/>
        </w:rPr>
        <w:t>ПОСТАНОВЛЯЕТ:</w:t>
      </w:r>
    </w:p>
    <w:p w:rsidR="00B36466" w:rsidRPr="00B36466" w:rsidRDefault="00B36466" w:rsidP="00B36466">
      <w:pPr>
        <w:pStyle w:val="a5"/>
        <w:ind w:firstLine="709"/>
        <w:jc w:val="both"/>
        <w:rPr>
          <w:sz w:val="28"/>
          <w:szCs w:val="28"/>
        </w:rPr>
      </w:pPr>
    </w:p>
    <w:p w:rsidR="00B36466" w:rsidRPr="00B36466" w:rsidRDefault="00B36466" w:rsidP="00B36466">
      <w:pPr>
        <w:pStyle w:val="a5"/>
        <w:ind w:firstLine="709"/>
        <w:jc w:val="both"/>
        <w:rPr>
          <w:sz w:val="28"/>
          <w:szCs w:val="28"/>
        </w:rPr>
      </w:pPr>
      <w:r w:rsidRPr="00B36466">
        <w:rPr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сельского поселения </w:t>
      </w:r>
      <w:r>
        <w:rPr>
          <w:sz w:val="28"/>
          <w:szCs w:val="28"/>
        </w:rPr>
        <w:t>Каменка</w:t>
      </w:r>
      <w:r w:rsidRPr="00B36466">
        <w:rPr>
          <w:sz w:val="28"/>
          <w:szCs w:val="28"/>
        </w:rPr>
        <w:t xml:space="preserve"> </w:t>
      </w:r>
      <w:r w:rsidRPr="00B36466">
        <w:rPr>
          <w:sz w:val="28"/>
        </w:rPr>
        <w:t xml:space="preserve">муниципального района </w:t>
      </w:r>
      <w:proofErr w:type="spellStart"/>
      <w:r w:rsidRPr="00B36466">
        <w:rPr>
          <w:sz w:val="28"/>
        </w:rPr>
        <w:t>Шенталинский</w:t>
      </w:r>
      <w:proofErr w:type="spellEnd"/>
      <w:r w:rsidRPr="00B36466">
        <w:rPr>
          <w:sz w:val="28"/>
        </w:rPr>
        <w:t xml:space="preserve"> Самарской области  </w:t>
      </w:r>
      <w:r w:rsidRPr="00B36466">
        <w:rPr>
          <w:sz w:val="28"/>
          <w:szCs w:val="28"/>
        </w:rPr>
        <w:t>на 2021 – 2025 годы» (прилагается).</w:t>
      </w:r>
    </w:p>
    <w:p w:rsidR="00B36466" w:rsidRPr="00B36466" w:rsidRDefault="00B36466" w:rsidP="00B36466">
      <w:pPr>
        <w:pStyle w:val="a5"/>
        <w:ind w:firstLine="709"/>
        <w:jc w:val="both"/>
        <w:rPr>
          <w:snapToGrid w:val="0"/>
          <w:spacing w:val="-4"/>
          <w:sz w:val="28"/>
          <w:szCs w:val="28"/>
        </w:rPr>
      </w:pPr>
      <w:r w:rsidRPr="00B36466">
        <w:rPr>
          <w:sz w:val="28"/>
          <w:szCs w:val="28"/>
        </w:rPr>
        <w:t xml:space="preserve">2. </w:t>
      </w:r>
      <w:r w:rsidRPr="00B36466">
        <w:rPr>
          <w:color w:val="000000"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color w:val="000000"/>
          <w:sz w:val="28"/>
          <w:szCs w:val="28"/>
        </w:rPr>
        <w:t>Каменка</w:t>
      </w:r>
      <w:r w:rsidRPr="00B36466">
        <w:rPr>
          <w:color w:val="000000"/>
          <w:sz w:val="28"/>
          <w:szCs w:val="28"/>
        </w:rPr>
        <w:t xml:space="preserve">» </w:t>
      </w:r>
      <w:r w:rsidRPr="00B36466">
        <w:rPr>
          <w:snapToGrid w:val="0"/>
          <w:spacing w:val="-4"/>
          <w:sz w:val="28"/>
          <w:szCs w:val="28"/>
        </w:rPr>
        <w:t xml:space="preserve">и разместить на официальном сайте администрации сельского поселения </w:t>
      </w:r>
      <w:r>
        <w:rPr>
          <w:snapToGrid w:val="0"/>
          <w:spacing w:val="-4"/>
          <w:sz w:val="28"/>
          <w:szCs w:val="28"/>
        </w:rPr>
        <w:t>Каменка</w:t>
      </w:r>
      <w:r w:rsidRPr="00B36466">
        <w:rPr>
          <w:snapToGrid w:val="0"/>
          <w:spacing w:val="-4"/>
          <w:sz w:val="28"/>
          <w:szCs w:val="28"/>
        </w:rPr>
        <w:t xml:space="preserve"> сети «Интернет».</w:t>
      </w:r>
    </w:p>
    <w:p w:rsidR="00B36466" w:rsidRPr="00B36466" w:rsidRDefault="00B36466" w:rsidP="00B36466">
      <w:pPr>
        <w:pStyle w:val="a5"/>
        <w:numPr>
          <w:ilvl w:val="0"/>
          <w:numId w:val="31"/>
        </w:numPr>
        <w:ind w:left="0" w:firstLine="709"/>
        <w:jc w:val="both"/>
        <w:rPr>
          <w:snapToGrid w:val="0"/>
          <w:spacing w:val="-4"/>
          <w:sz w:val="28"/>
          <w:szCs w:val="28"/>
        </w:rPr>
      </w:pPr>
      <w:r w:rsidRPr="00B36466">
        <w:rPr>
          <w:snapToGrid w:val="0"/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6466" w:rsidRPr="00B36466" w:rsidRDefault="00B36466" w:rsidP="00B364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364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78F8" w:rsidRDefault="002B6FB4" w:rsidP="00B3646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6ABDC9" wp14:editId="62FFC1ED">
            <wp:extent cx="5940425" cy="1471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466" w:rsidRPr="00B3646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2B6FB4" w:rsidRDefault="002B6FB4" w:rsidP="00A478F8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36466" w:rsidRPr="00B36466" w:rsidRDefault="00B36466" w:rsidP="00A478F8">
      <w:pPr>
        <w:contextualSpacing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B36466">
        <w:rPr>
          <w:rFonts w:ascii="Times New Roman" w:hAnsi="Times New Roman"/>
          <w:b/>
          <w:sz w:val="28"/>
          <w:szCs w:val="28"/>
        </w:rPr>
        <w:t xml:space="preserve">  </w:t>
      </w:r>
      <w:r w:rsidRPr="00B36466">
        <w:rPr>
          <w:rFonts w:ascii="Times New Roman" w:hAnsi="Times New Roman"/>
          <w:bCs/>
        </w:rPr>
        <w:t>Приложение</w:t>
      </w:r>
    </w:p>
    <w:p w:rsidR="00B36466" w:rsidRPr="00B36466" w:rsidRDefault="00B36466" w:rsidP="00A478F8">
      <w:pPr>
        <w:ind w:left="5245"/>
        <w:contextualSpacing/>
        <w:jc w:val="right"/>
        <w:rPr>
          <w:rFonts w:ascii="Times New Roman" w:hAnsi="Times New Roman"/>
          <w:bCs/>
        </w:rPr>
      </w:pPr>
      <w:r w:rsidRPr="00B36466">
        <w:rPr>
          <w:rFonts w:ascii="Times New Roman" w:hAnsi="Times New Roman"/>
          <w:bCs/>
        </w:rPr>
        <w:t>к постановлению Администрации</w:t>
      </w:r>
    </w:p>
    <w:p w:rsidR="00B36466" w:rsidRPr="00B36466" w:rsidRDefault="00B36466" w:rsidP="00A478F8">
      <w:pPr>
        <w:ind w:left="5245"/>
        <w:contextualSpacing/>
        <w:jc w:val="right"/>
        <w:rPr>
          <w:rFonts w:ascii="Times New Roman" w:hAnsi="Times New Roman"/>
          <w:bCs/>
        </w:rPr>
      </w:pPr>
      <w:r w:rsidRPr="00B36466">
        <w:rPr>
          <w:rFonts w:ascii="Times New Roman" w:hAnsi="Times New Roman"/>
          <w:bCs/>
        </w:rPr>
        <w:t xml:space="preserve">сельского поселения </w:t>
      </w:r>
      <w:r>
        <w:rPr>
          <w:rFonts w:ascii="Times New Roman" w:hAnsi="Times New Roman"/>
          <w:bCs/>
        </w:rPr>
        <w:t>Каменка</w:t>
      </w:r>
      <w:r w:rsidRPr="00B36466">
        <w:rPr>
          <w:rFonts w:ascii="Times New Roman" w:hAnsi="Times New Roman"/>
          <w:bCs/>
        </w:rPr>
        <w:t xml:space="preserve"> </w:t>
      </w:r>
    </w:p>
    <w:p w:rsidR="00B36466" w:rsidRPr="00B36466" w:rsidRDefault="00B36466" w:rsidP="00A478F8">
      <w:pPr>
        <w:ind w:left="5245"/>
        <w:contextualSpacing/>
        <w:jc w:val="right"/>
        <w:rPr>
          <w:rFonts w:ascii="Times New Roman" w:hAnsi="Times New Roman"/>
          <w:bCs/>
        </w:rPr>
      </w:pPr>
      <w:r w:rsidRPr="00B36466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B36466">
        <w:rPr>
          <w:rFonts w:ascii="Times New Roman" w:hAnsi="Times New Roman"/>
          <w:bCs/>
        </w:rPr>
        <w:t>Шенталинский</w:t>
      </w:r>
      <w:proofErr w:type="spellEnd"/>
      <w:r w:rsidRPr="00B36466">
        <w:rPr>
          <w:rFonts w:ascii="Times New Roman" w:hAnsi="Times New Roman"/>
          <w:bCs/>
        </w:rPr>
        <w:t xml:space="preserve"> Самарской области</w:t>
      </w:r>
    </w:p>
    <w:p w:rsidR="00B36466" w:rsidRPr="00B36466" w:rsidRDefault="00B36466" w:rsidP="00A478F8">
      <w:pPr>
        <w:contextualSpacing/>
        <w:jc w:val="right"/>
        <w:rPr>
          <w:rFonts w:ascii="Times New Roman" w:hAnsi="Times New Roman"/>
        </w:rPr>
      </w:pPr>
      <w:r w:rsidRPr="00B36466">
        <w:rPr>
          <w:rFonts w:ascii="Times New Roman" w:hAnsi="Times New Roman"/>
          <w:bCs/>
        </w:rPr>
        <w:t xml:space="preserve">   от   </w:t>
      </w:r>
      <w:r w:rsidR="00A478F8">
        <w:rPr>
          <w:rFonts w:ascii="Times New Roman" w:hAnsi="Times New Roman"/>
          <w:bCs/>
        </w:rPr>
        <w:t>05.05</w:t>
      </w:r>
      <w:r w:rsidRPr="00B36466">
        <w:rPr>
          <w:rFonts w:ascii="Times New Roman" w:hAnsi="Times New Roman"/>
          <w:bCs/>
        </w:rPr>
        <w:t xml:space="preserve">.2021 г. №   </w:t>
      </w:r>
      <w:r w:rsidR="00A478F8">
        <w:rPr>
          <w:rFonts w:ascii="Times New Roman" w:hAnsi="Times New Roman"/>
          <w:bCs/>
        </w:rPr>
        <w:t>20</w:t>
      </w:r>
      <w:r w:rsidRPr="00B36466">
        <w:rPr>
          <w:rFonts w:ascii="Times New Roman" w:hAnsi="Times New Roman"/>
          <w:bCs/>
        </w:rPr>
        <w:t xml:space="preserve"> -</w:t>
      </w:r>
      <w:proofErr w:type="gramStart"/>
      <w:r w:rsidRPr="00B36466">
        <w:rPr>
          <w:rFonts w:ascii="Times New Roman" w:hAnsi="Times New Roman"/>
          <w:bCs/>
        </w:rPr>
        <w:t>п</w:t>
      </w:r>
      <w:proofErr w:type="gramEnd"/>
    </w:p>
    <w:p w:rsidR="00B36466" w:rsidRPr="00B36466" w:rsidRDefault="00B36466" w:rsidP="00B36466">
      <w:pPr>
        <w:ind w:left="5580"/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ind w:left="5580"/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ind w:left="5580"/>
        <w:rPr>
          <w:rFonts w:ascii="Times New Roman" w:hAnsi="Times New Roman"/>
          <w:iCs/>
          <w:sz w:val="28"/>
          <w:szCs w:val="28"/>
        </w:rPr>
      </w:pPr>
    </w:p>
    <w:p w:rsidR="00B36466" w:rsidRPr="00B36466" w:rsidRDefault="00B36466" w:rsidP="00B36466">
      <w:pPr>
        <w:pStyle w:val="2"/>
        <w:ind w:firstLine="709"/>
        <w:jc w:val="center"/>
        <w:rPr>
          <w:rFonts w:ascii="Times New Roman" w:hAnsi="Times New Roman" w:cs="Times New Roman"/>
        </w:rPr>
      </w:pPr>
    </w:p>
    <w:p w:rsidR="00B36466" w:rsidRPr="00B36466" w:rsidRDefault="00B36466" w:rsidP="00B36466">
      <w:pPr>
        <w:pStyle w:val="10"/>
        <w:ind w:firstLine="709"/>
        <w:jc w:val="center"/>
        <w:rPr>
          <w:sz w:val="36"/>
          <w:szCs w:val="36"/>
        </w:rPr>
      </w:pPr>
      <w:r w:rsidRPr="00B36466">
        <w:rPr>
          <w:sz w:val="36"/>
          <w:szCs w:val="36"/>
        </w:rPr>
        <w:t>МУНИЦИПАЛЬНАЯ  ПРОГРАММА</w:t>
      </w:r>
    </w:p>
    <w:p w:rsidR="00B36466" w:rsidRPr="00B36466" w:rsidRDefault="00B36466" w:rsidP="00B36466">
      <w:pPr>
        <w:pStyle w:val="10"/>
        <w:ind w:firstLine="709"/>
        <w:jc w:val="center"/>
        <w:rPr>
          <w:sz w:val="36"/>
          <w:szCs w:val="36"/>
        </w:rPr>
      </w:pPr>
      <w:r w:rsidRPr="00B36466">
        <w:rPr>
          <w:sz w:val="36"/>
          <w:szCs w:val="36"/>
        </w:rPr>
        <w:t xml:space="preserve">«Энергосбережение и повышение энергетической эффективности на территории сельского поселения </w:t>
      </w:r>
      <w:r>
        <w:rPr>
          <w:sz w:val="36"/>
          <w:szCs w:val="36"/>
        </w:rPr>
        <w:t>Каменка</w:t>
      </w:r>
      <w:r w:rsidRPr="00B36466">
        <w:rPr>
          <w:sz w:val="36"/>
          <w:szCs w:val="36"/>
        </w:rPr>
        <w:t xml:space="preserve"> муниципального района </w:t>
      </w:r>
      <w:proofErr w:type="spellStart"/>
      <w:r w:rsidRPr="00B36466">
        <w:rPr>
          <w:sz w:val="36"/>
          <w:szCs w:val="36"/>
        </w:rPr>
        <w:t>Шенталинский</w:t>
      </w:r>
      <w:proofErr w:type="spellEnd"/>
      <w:r w:rsidRPr="00B36466">
        <w:rPr>
          <w:sz w:val="36"/>
          <w:szCs w:val="36"/>
        </w:rPr>
        <w:t xml:space="preserve"> Самарской области  на 2021-2025 годы»</w:t>
      </w: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rPr>
          <w:rFonts w:ascii="Times New Roman" w:hAnsi="Times New Roman"/>
          <w:sz w:val="28"/>
          <w:szCs w:val="28"/>
        </w:rPr>
      </w:pPr>
    </w:p>
    <w:p w:rsidR="00B36466" w:rsidRPr="00B36466" w:rsidRDefault="00B36466" w:rsidP="00B3646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6466">
        <w:rPr>
          <w:rFonts w:ascii="Times New Roman" w:hAnsi="Times New Roman"/>
          <w:sz w:val="28"/>
          <w:szCs w:val="28"/>
        </w:rPr>
        <w:t>с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Каменка</w:t>
      </w:r>
    </w:p>
    <w:p w:rsidR="00B36466" w:rsidRPr="00B36466" w:rsidRDefault="00B36466" w:rsidP="00B36466">
      <w:pPr>
        <w:jc w:val="center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2021</w:t>
      </w:r>
    </w:p>
    <w:p w:rsidR="00B36466" w:rsidRPr="00B36466" w:rsidRDefault="00B36466" w:rsidP="00B36466">
      <w:pPr>
        <w:spacing w:line="270" w:lineRule="atLeast"/>
        <w:jc w:val="center"/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</w:pPr>
      <w:r w:rsidRPr="00B36466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Паспорт Программы</w:t>
      </w:r>
    </w:p>
    <w:p w:rsidR="00B36466" w:rsidRPr="00B36466" w:rsidRDefault="00B36466" w:rsidP="00B36466">
      <w:pPr>
        <w:spacing w:line="270" w:lineRule="atLeast"/>
        <w:jc w:val="center"/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B36466" w:rsidRPr="00B36466" w:rsidTr="0093020D">
        <w:trPr>
          <w:trHeight w:val="1009"/>
        </w:trPr>
        <w:tc>
          <w:tcPr>
            <w:tcW w:w="25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bCs/>
                <w:color w:val="333333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««Энергосбережение и повышение энергетической эффективности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B3646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36466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B36466"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2021 – 2025 годы»</w:t>
            </w:r>
          </w:p>
        </w:tc>
      </w:tr>
      <w:tr w:rsidR="00B36466" w:rsidRPr="00B36466" w:rsidTr="0093020D">
        <w:trPr>
          <w:trHeight w:val="1098"/>
        </w:trPr>
        <w:tc>
          <w:tcPr>
            <w:tcW w:w="25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bCs/>
                <w:color w:val="333333"/>
              </w:rPr>
            </w:pPr>
            <w:r w:rsidRPr="00B36466">
              <w:rPr>
                <w:rFonts w:ascii="Times New Roman" w:hAnsi="Times New Roman"/>
              </w:rPr>
              <w:t>Дата принятия решения о разработке муниципальной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36466" w:rsidRPr="00B36466" w:rsidRDefault="00A478F8" w:rsidP="00A478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="00B36466" w:rsidRPr="00B3646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B36466" w:rsidRPr="00B36466" w:rsidTr="0093020D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color w:val="333333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31 декабря 2009 года          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20 февраля 2010 года          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РФ от            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B36466" w:rsidRPr="00B36466" w:rsidRDefault="00B36466" w:rsidP="00B36466">
            <w:pPr>
              <w:pStyle w:val="ad"/>
              <w:numPr>
                <w:ilvl w:val="0"/>
                <w:numId w:val="32"/>
              </w:numPr>
              <w:suppressAutoHyphens/>
              <w:ind w:left="317" w:hanging="28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 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B36466">
              <w:rPr>
                <w:rFonts w:ascii="Times New Roman" w:hAnsi="Times New Roman"/>
                <w:sz w:val="24"/>
                <w:szCs w:val="24"/>
              </w:rPr>
              <w:t xml:space="preserve"> национальное от 29.12.2014 года № 35-п « Об утверждении  Порядка разработки, формирования, реализации и  оценки эффективности муниципальных программ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B3646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36466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B364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6466" w:rsidRPr="00B36466" w:rsidTr="0093020D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B36466" w:rsidRDefault="00B36466" w:rsidP="00930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Заказчик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B36466" w:rsidRDefault="00B36466" w:rsidP="0093020D">
            <w:pPr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color w:val="333333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333333"/>
              </w:rPr>
              <w:t>Каменка</w:t>
            </w:r>
            <w:r w:rsidRPr="00B36466">
              <w:rPr>
                <w:rFonts w:ascii="Times New Roman" w:hAnsi="Times New Roman"/>
                <w:color w:val="333333"/>
              </w:rPr>
              <w:t xml:space="preserve"> </w:t>
            </w:r>
            <w:r w:rsidRPr="00B36466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B36466">
              <w:rPr>
                <w:rFonts w:ascii="Times New Roman" w:hAnsi="Times New Roman"/>
              </w:rPr>
              <w:t>Шенталинский</w:t>
            </w:r>
            <w:proofErr w:type="spellEnd"/>
            <w:r w:rsidRPr="00B36466">
              <w:rPr>
                <w:rFonts w:ascii="Times New Roman" w:hAnsi="Times New Roman"/>
              </w:rPr>
              <w:t xml:space="preserve"> Самарской области  </w:t>
            </w:r>
          </w:p>
        </w:tc>
      </w:tr>
      <w:tr w:rsidR="00B36466" w:rsidRPr="00B36466" w:rsidTr="0093020D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B36466" w:rsidRDefault="00B36466" w:rsidP="00930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lastRenderedPageBreak/>
              <w:t>Разработчик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B36466" w:rsidRDefault="00B36466" w:rsidP="0093020D">
            <w:pPr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color w:val="333333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333333"/>
              </w:rPr>
              <w:t>Каменка</w:t>
            </w:r>
            <w:r w:rsidRPr="00B36466">
              <w:rPr>
                <w:rFonts w:ascii="Times New Roman" w:hAnsi="Times New Roman"/>
                <w:color w:val="333333"/>
              </w:rPr>
              <w:t xml:space="preserve"> </w:t>
            </w:r>
            <w:r w:rsidRPr="00B36466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B36466">
              <w:rPr>
                <w:rFonts w:ascii="Times New Roman" w:hAnsi="Times New Roman"/>
              </w:rPr>
              <w:t>Шенталинский</w:t>
            </w:r>
            <w:proofErr w:type="spellEnd"/>
            <w:r w:rsidRPr="00B36466">
              <w:rPr>
                <w:rFonts w:ascii="Times New Roman" w:hAnsi="Times New Roman"/>
              </w:rPr>
              <w:t xml:space="preserve"> Самарской области  </w:t>
            </w:r>
          </w:p>
        </w:tc>
      </w:tr>
      <w:tr w:rsidR="00B36466" w:rsidRPr="00B36466" w:rsidTr="0093020D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color w:val="333333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B36466" w:rsidRPr="00A478F8" w:rsidRDefault="00B36466" w:rsidP="0093020D">
            <w:pPr>
              <w:pStyle w:val="a4"/>
              <w:spacing w:after="75" w:line="27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478F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Администрация сельского поселения Каменка </w:t>
            </w:r>
            <w:r w:rsidRPr="00A478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478F8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A478F8">
              <w:rPr>
                <w:rFonts w:ascii="Times New Roman" w:hAnsi="Times New Roman"/>
                <w:sz w:val="24"/>
                <w:szCs w:val="24"/>
              </w:rPr>
              <w:t xml:space="preserve"> Самарской области  </w:t>
            </w:r>
          </w:p>
        </w:tc>
      </w:tr>
      <w:tr w:rsidR="00B36466" w:rsidRPr="00B36466" w:rsidTr="0093020D">
        <w:trPr>
          <w:trHeight w:val="2566"/>
        </w:trPr>
        <w:tc>
          <w:tcPr>
            <w:tcW w:w="2518" w:type="dxa"/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color w:val="333333"/>
              </w:rPr>
              <w:t>Цели и задачи Программы</w:t>
            </w:r>
          </w:p>
        </w:tc>
        <w:tc>
          <w:tcPr>
            <w:tcW w:w="7052" w:type="dxa"/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b/>
              </w:rPr>
            </w:pPr>
            <w:r w:rsidRPr="00B36466">
              <w:rPr>
                <w:rFonts w:ascii="Times New Roman" w:hAnsi="Times New Roman"/>
                <w:b/>
              </w:rPr>
              <w:t>Цель программы:</w:t>
            </w:r>
          </w:p>
          <w:p w:rsidR="00B36466" w:rsidRPr="00B36466" w:rsidRDefault="00B36466" w:rsidP="0093020D">
            <w:pPr>
              <w:spacing w:line="270" w:lineRule="atLeast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Снижение потребления топливно-энергетических ресурсов (ТЭР) за счет реализации энергосберегающих мероприятий на основе внедрения </w:t>
            </w:r>
            <w:proofErr w:type="spellStart"/>
            <w:r w:rsidRPr="00B36466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B36466">
              <w:rPr>
                <w:rFonts w:ascii="Times New Roman" w:hAnsi="Times New Roman"/>
              </w:rPr>
              <w:t xml:space="preserve"> технологий</w:t>
            </w:r>
          </w:p>
          <w:p w:rsidR="00B36466" w:rsidRPr="00B36466" w:rsidRDefault="00B36466" w:rsidP="0093020D">
            <w:pPr>
              <w:spacing w:line="270" w:lineRule="atLeast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модернизация энергетического комплекса поселения</w:t>
            </w:r>
            <w:proofErr w:type="gramStart"/>
            <w:r w:rsidRPr="00B36466">
              <w:rPr>
                <w:rFonts w:ascii="Times New Roman" w:hAnsi="Times New Roman"/>
              </w:rPr>
              <w:t xml:space="preserve"> ,</w:t>
            </w:r>
            <w:proofErr w:type="gramEnd"/>
            <w:r w:rsidRPr="00B36466">
              <w:rPr>
                <w:rFonts w:ascii="Times New Roman" w:hAnsi="Times New Roman"/>
              </w:rPr>
              <w:t xml:space="preserve"> внедрение инновационных технологий в сфере энергосбережения и повышения энергетической эффективности</w:t>
            </w:r>
          </w:p>
          <w:p w:rsidR="00B36466" w:rsidRPr="00B36466" w:rsidRDefault="00B36466" w:rsidP="0093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36466">
              <w:rPr>
                <w:rFonts w:ascii="Times New Roman" w:hAnsi="Times New Roman"/>
                <w:b/>
              </w:rPr>
              <w:t>Задачи программы:</w:t>
            </w:r>
          </w:p>
          <w:p w:rsidR="00B36466" w:rsidRPr="00B36466" w:rsidRDefault="00B36466" w:rsidP="0093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- проведение энергетических обследований в подведомственных бюджетных учреждениях, выявление дополнительных резервов энергосбережения</w:t>
            </w:r>
          </w:p>
          <w:p w:rsidR="00B36466" w:rsidRPr="00B36466" w:rsidRDefault="00B36466" w:rsidP="0093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- обеспечение учета используемых энергоресурсов;</w:t>
            </w:r>
          </w:p>
          <w:p w:rsidR="00B36466" w:rsidRPr="00B36466" w:rsidRDefault="00B36466" w:rsidP="0093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- снижение объема потребления энергоресурсов;</w:t>
            </w:r>
          </w:p>
          <w:p w:rsidR="00B36466" w:rsidRPr="00B36466" w:rsidRDefault="00B36466" w:rsidP="0093020D">
            <w:pPr>
              <w:shd w:val="clear" w:color="auto" w:fill="FFFFFF"/>
              <w:ind w:left="37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- сокращение расходов на оплату энергоресурсов </w:t>
            </w:r>
          </w:p>
        </w:tc>
      </w:tr>
      <w:tr w:rsidR="00B36466" w:rsidRPr="00B36466" w:rsidTr="0093020D">
        <w:trPr>
          <w:trHeight w:val="1046"/>
        </w:trPr>
        <w:tc>
          <w:tcPr>
            <w:tcW w:w="25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Сроки и этапы реализации</w:t>
            </w:r>
          </w:p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color w:val="333333"/>
              </w:rPr>
              <w:t>2021-2025</w:t>
            </w:r>
          </w:p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</w:p>
        </w:tc>
      </w:tr>
      <w:tr w:rsidR="00B36466" w:rsidRPr="00B36466" w:rsidTr="0093020D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</w:rPr>
              <w:t>Важнейшие индикаторы и показатели муниципальной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36466" w:rsidRPr="00B36466" w:rsidRDefault="00B36466" w:rsidP="00B3646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поселения;</w:t>
            </w:r>
          </w:p>
          <w:p w:rsidR="00B36466" w:rsidRPr="00B36466" w:rsidRDefault="00B36466" w:rsidP="00B3646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color w:val="000000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</w:t>
            </w:r>
          </w:p>
          <w:p w:rsidR="00B36466" w:rsidRPr="00B36466" w:rsidRDefault="00B36466" w:rsidP="00B3646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color w:val="000000"/>
                <w:shd w:val="clear" w:color="auto" w:fill="FFFFFF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B36466" w:rsidRPr="00B36466" w:rsidRDefault="00B36466" w:rsidP="00B3646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color w:val="000000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</w:tc>
      </w:tr>
      <w:tr w:rsidR="00B36466" w:rsidRPr="00B36466" w:rsidTr="0093020D">
        <w:trPr>
          <w:trHeight w:val="463"/>
        </w:trPr>
        <w:tc>
          <w:tcPr>
            <w:tcW w:w="2518" w:type="dxa"/>
            <w:tcBorders>
              <w:top w:val="single" w:sz="4" w:space="0" w:color="auto"/>
            </w:tcBorders>
          </w:tcPr>
          <w:p w:rsidR="00B36466" w:rsidRPr="00B36466" w:rsidRDefault="00B36466" w:rsidP="00930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  <w:color w:val="333333"/>
              </w:rPr>
              <w:t>-</w:t>
            </w:r>
          </w:p>
        </w:tc>
      </w:tr>
      <w:tr w:rsidR="00B36466" w:rsidRPr="00B36466" w:rsidTr="0093020D">
        <w:tc>
          <w:tcPr>
            <w:tcW w:w="2518" w:type="dxa"/>
          </w:tcPr>
          <w:p w:rsidR="00B36466" w:rsidRPr="00B36466" w:rsidRDefault="00B36466" w:rsidP="00930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Объемы и источники финансирования мероприятий, определенных муниципальной </w:t>
            </w:r>
            <w:r w:rsidRPr="00B36466">
              <w:rPr>
                <w:rFonts w:ascii="Times New Roman" w:hAnsi="Times New Roman"/>
              </w:rPr>
              <w:lastRenderedPageBreak/>
              <w:t>программой</w:t>
            </w:r>
          </w:p>
        </w:tc>
        <w:tc>
          <w:tcPr>
            <w:tcW w:w="7052" w:type="dxa"/>
          </w:tcPr>
          <w:p w:rsidR="00B36466" w:rsidRPr="00B36466" w:rsidRDefault="00B36466" w:rsidP="0093020D">
            <w:pPr>
              <w:pStyle w:val="a4"/>
              <w:spacing w:before="0" w:after="75" w:line="270" w:lineRule="atLeast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lastRenderedPageBreak/>
              <w:t xml:space="preserve">Общий объем финансирования Программы составляет </w:t>
            </w:r>
            <w:r w:rsidRPr="00B36466">
              <w:rPr>
                <w:rStyle w:val="apple-converted-space"/>
                <w:rFonts w:ascii="Times New Roman" w:hAnsi="Times New Roman"/>
              </w:rPr>
              <w:t> 0 </w:t>
            </w:r>
            <w:r w:rsidRPr="00B36466">
              <w:rPr>
                <w:rFonts w:ascii="Times New Roman" w:hAnsi="Times New Roman"/>
              </w:rPr>
              <w:t>тыс. руб., в том числе по годам реализации:</w:t>
            </w:r>
          </w:p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 год –0тыс. руб.</w:t>
            </w:r>
          </w:p>
          <w:p w:rsidR="00B36466" w:rsidRPr="00B36466" w:rsidRDefault="00B36466" w:rsidP="0093020D">
            <w:pPr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2022 год –0 </w:t>
            </w:r>
            <w:proofErr w:type="spellStart"/>
            <w:r w:rsidRPr="00B36466">
              <w:rPr>
                <w:rFonts w:ascii="Times New Roman" w:hAnsi="Times New Roman"/>
              </w:rPr>
              <w:t>тыс</w:t>
            </w:r>
            <w:proofErr w:type="gramStart"/>
            <w:r w:rsidRPr="00B36466">
              <w:rPr>
                <w:rFonts w:ascii="Times New Roman" w:hAnsi="Times New Roman"/>
              </w:rPr>
              <w:t>.р</w:t>
            </w:r>
            <w:proofErr w:type="gramEnd"/>
            <w:r w:rsidRPr="00B36466">
              <w:rPr>
                <w:rFonts w:ascii="Times New Roman" w:hAnsi="Times New Roman"/>
              </w:rPr>
              <w:t>уб</w:t>
            </w:r>
            <w:proofErr w:type="spellEnd"/>
            <w:r w:rsidRPr="00B36466">
              <w:rPr>
                <w:rFonts w:ascii="Times New Roman" w:hAnsi="Times New Roman"/>
              </w:rPr>
              <w:t>.</w:t>
            </w:r>
          </w:p>
          <w:p w:rsidR="00B36466" w:rsidRPr="00B36466" w:rsidRDefault="00B36466" w:rsidP="0093020D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lastRenderedPageBreak/>
              <w:t>2023 год – 0 тыс. руб.</w:t>
            </w:r>
          </w:p>
          <w:p w:rsidR="00B36466" w:rsidRPr="00B36466" w:rsidRDefault="00B36466" w:rsidP="0093020D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2024 год -0 тыс. руб.</w:t>
            </w:r>
          </w:p>
          <w:p w:rsidR="00B36466" w:rsidRPr="00B36466" w:rsidRDefault="00B36466" w:rsidP="0093020D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2025год - 0 тыс. руб.</w:t>
            </w:r>
          </w:p>
        </w:tc>
      </w:tr>
      <w:tr w:rsidR="00B36466" w:rsidRPr="00B36466" w:rsidTr="0093020D">
        <w:trPr>
          <w:trHeight w:val="1123"/>
        </w:trPr>
        <w:tc>
          <w:tcPr>
            <w:tcW w:w="2518" w:type="dxa"/>
          </w:tcPr>
          <w:p w:rsidR="00B36466" w:rsidRPr="00B36466" w:rsidRDefault="00B36466" w:rsidP="0093020D">
            <w:pPr>
              <w:spacing w:line="270" w:lineRule="atLeast"/>
              <w:rPr>
                <w:rFonts w:ascii="Times New Roman" w:hAnsi="Times New Roman"/>
                <w:color w:val="333333"/>
              </w:rPr>
            </w:pPr>
            <w:r w:rsidRPr="00B36466">
              <w:rPr>
                <w:rFonts w:ascii="Times New Roman" w:hAnsi="Times New Roman"/>
              </w:rPr>
              <w:lastRenderedPageBreak/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7052" w:type="dxa"/>
          </w:tcPr>
          <w:p w:rsidR="00B36466" w:rsidRPr="00B36466" w:rsidRDefault="00B36466" w:rsidP="00B3646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Экономия топливно-энергетических ресурсов;</w:t>
            </w:r>
          </w:p>
          <w:p w:rsidR="00B36466" w:rsidRPr="00B36466" w:rsidRDefault="00B36466" w:rsidP="00B3646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B36466">
              <w:rPr>
                <w:rFonts w:ascii="Times New Roman" w:hAnsi="Times New Roman"/>
              </w:rPr>
              <w:t>обеспечение учета всего объема потребляемых  энергетических ресурсов;</w:t>
            </w:r>
          </w:p>
          <w:p w:rsidR="00B36466" w:rsidRPr="00B36466" w:rsidRDefault="00B36466" w:rsidP="00B36466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B36466">
              <w:rPr>
                <w:rFonts w:ascii="Times New Roman" w:hAnsi="Times New Roman"/>
              </w:rPr>
              <w:t>снижение затрат на оплату энергоресурсов</w:t>
            </w:r>
          </w:p>
        </w:tc>
      </w:tr>
    </w:tbl>
    <w:p w:rsidR="00B36466" w:rsidRPr="00B36466" w:rsidRDefault="00B36466" w:rsidP="00B364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6466">
        <w:rPr>
          <w:rFonts w:ascii="Times New Roman" w:hAnsi="Times New Roman"/>
          <w:b/>
          <w:bCs/>
          <w:sz w:val="28"/>
          <w:szCs w:val="28"/>
        </w:rPr>
        <w:t>1.Общая характеристика социально-экономической сферы реализации муниципальной Программы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364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B36466">
        <w:rPr>
          <w:rFonts w:ascii="Times New Roman" w:hAnsi="Times New Roman"/>
          <w:sz w:val="28"/>
          <w:szCs w:val="28"/>
        </w:rPr>
        <w:t xml:space="preserve"> Самарской области (далее сельское поселение) включает в себя </w:t>
      </w:r>
      <w:r w:rsidR="00A478F8">
        <w:rPr>
          <w:rFonts w:ascii="Times New Roman" w:hAnsi="Times New Roman"/>
          <w:sz w:val="28"/>
          <w:szCs w:val="28"/>
        </w:rPr>
        <w:t>7</w:t>
      </w:r>
      <w:r w:rsidRPr="00B36466">
        <w:rPr>
          <w:rFonts w:ascii="Times New Roman" w:hAnsi="Times New Roman"/>
          <w:sz w:val="28"/>
          <w:szCs w:val="28"/>
        </w:rPr>
        <w:t xml:space="preserve"> населенных пунктов. Численность населения на 01.01.2021  года составляет  </w:t>
      </w:r>
      <w:r w:rsidR="00A478F8">
        <w:rPr>
          <w:rFonts w:ascii="Times New Roman" w:hAnsi="Times New Roman"/>
          <w:sz w:val="28"/>
          <w:szCs w:val="28"/>
        </w:rPr>
        <w:t>1019</w:t>
      </w:r>
      <w:r w:rsidRPr="00B36466">
        <w:rPr>
          <w:rFonts w:ascii="Times New Roman" w:hAnsi="Times New Roman"/>
          <w:sz w:val="28"/>
          <w:szCs w:val="28"/>
        </w:rPr>
        <w:t xml:space="preserve"> человек.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 xml:space="preserve"> расположены следующие объекты социальной инфраструктуры: </w:t>
      </w:r>
    </w:p>
    <w:p w:rsidR="00B36466" w:rsidRP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Государственное бюджетное образовательное учреждение </w:t>
      </w:r>
      <w:r w:rsidR="00A478F8">
        <w:rPr>
          <w:rFonts w:ascii="Times New Roman" w:hAnsi="Times New Roman"/>
          <w:sz w:val="28"/>
          <w:szCs w:val="28"/>
        </w:rPr>
        <w:t>основна</w:t>
      </w:r>
      <w:r w:rsidRPr="00B36466">
        <w:rPr>
          <w:rFonts w:ascii="Times New Roman" w:hAnsi="Times New Roman"/>
          <w:sz w:val="28"/>
          <w:szCs w:val="28"/>
        </w:rPr>
        <w:t xml:space="preserve">я общеобразовательная школа </w:t>
      </w:r>
      <w:proofErr w:type="gramStart"/>
      <w:r w:rsidRPr="00B36466">
        <w:rPr>
          <w:rFonts w:ascii="Times New Roman" w:hAnsi="Times New Roman"/>
          <w:sz w:val="28"/>
          <w:szCs w:val="28"/>
        </w:rPr>
        <w:t>с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>;</w:t>
      </w:r>
    </w:p>
    <w:p w:rsidR="00B36466" w:rsidRP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- Структурное подразделение детский сад «</w:t>
      </w:r>
      <w:r w:rsidR="00A478F8">
        <w:rPr>
          <w:rFonts w:ascii="Times New Roman" w:hAnsi="Times New Roman"/>
          <w:sz w:val="28"/>
          <w:szCs w:val="28"/>
        </w:rPr>
        <w:t>Березка</w:t>
      </w:r>
      <w:r w:rsidRPr="00B36466">
        <w:rPr>
          <w:rFonts w:ascii="Times New Roman" w:hAnsi="Times New Roman"/>
          <w:sz w:val="28"/>
          <w:szCs w:val="28"/>
        </w:rPr>
        <w:t xml:space="preserve">» ГБОУ </w:t>
      </w:r>
      <w:r w:rsidR="00A478F8">
        <w:rPr>
          <w:rFonts w:ascii="Times New Roman" w:hAnsi="Times New Roman"/>
          <w:sz w:val="28"/>
          <w:szCs w:val="28"/>
        </w:rPr>
        <w:t>О</w:t>
      </w:r>
      <w:r w:rsidRPr="00B36466">
        <w:rPr>
          <w:rFonts w:ascii="Times New Roman" w:hAnsi="Times New Roman"/>
          <w:sz w:val="28"/>
          <w:szCs w:val="28"/>
        </w:rPr>
        <w:t xml:space="preserve">ОШ </w:t>
      </w:r>
      <w:proofErr w:type="gramStart"/>
      <w:r w:rsidRPr="00B36466">
        <w:rPr>
          <w:rFonts w:ascii="Times New Roman" w:hAnsi="Times New Roman"/>
          <w:sz w:val="28"/>
          <w:szCs w:val="28"/>
        </w:rPr>
        <w:t>с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>;</w:t>
      </w:r>
    </w:p>
    <w:p w:rsidR="00B36466" w:rsidRP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СДК </w:t>
      </w:r>
      <w:proofErr w:type="gramStart"/>
      <w:r w:rsidRPr="00B36466">
        <w:rPr>
          <w:rFonts w:ascii="Times New Roman" w:hAnsi="Times New Roman"/>
          <w:sz w:val="28"/>
          <w:szCs w:val="28"/>
        </w:rPr>
        <w:t>с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>;</w:t>
      </w:r>
    </w:p>
    <w:p w:rsid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-</w:t>
      </w:r>
      <w:r w:rsidR="00A478F8" w:rsidRPr="00A478F8">
        <w:rPr>
          <w:rFonts w:ascii="Times New Roman" w:hAnsi="Times New Roman"/>
          <w:sz w:val="28"/>
          <w:szCs w:val="28"/>
        </w:rPr>
        <w:t xml:space="preserve"> </w:t>
      </w:r>
      <w:r w:rsidR="00A478F8" w:rsidRPr="00B36466">
        <w:rPr>
          <w:rFonts w:ascii="Times New Roman" w:hAnsi="Times New Roman"/>
          <w:sz w:val="28"/>
          <w:szCs w:val="28"/>
        </w:rPr>
        <w:t xml:space="preserve">СДК с. </w:t>
      </w:r>
      <w:r w:rsidR="00A478F8">
        <w:rPr>
          <w:rFonts w:ascii="Times New Roman" w:hAnsi="Times New Roman"/>
          <w:sz w:val="28"/>
          <w:szCs w:val="28"/>
        </w:rPr>
        <w:t xml:space="preserve">Татарское </w:t>
      </w:r>
      <w:proofErr w:type="spellStart"/>
      <w:r w:rsidR="00A478F8">
        <w:rPr>
          <w:rFonts w:ascii="Times New Roman" w:hAnsi="Times New Roman"/>
          <w:sz w:val="28"/>
          <w:szCs w:val="28"/>
        </w:rPr>
        <w:t>Абдикеево</w:t>
      </w:r>
      <w:proofErr w:type="spellEnd"/>
      <w:r w:rsidRPr="00B36466">
        <w:rPr>
          <w:rFonts w:ascii="Times New Roman" w:hAnsi="Times New Roman"/>
          <w:sz w:val="28"/>
          <w:szCs w:val="28"/>
        </w:rPr>
        <w:t>;</w:t>
      </w:r>
    </w:p>
    <w:p w:rsidR="00A478F8" w:rsidRPr="00B36466" w:rsidRDefault="00A478F8" w:rsidP="00B36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6466">
        <w:rPr>
          <w:rFonts w:ascii="Times New Roman" w:hAnsi="Times New Roman"/>
          <w:sz w:val="28"/>
          <w:szCs w:val="28"/>
        </w:rPr>
        <w:t xml:space="preserve">СДК с. </w:t>
      </w:r>
      <w:r>
        <w:rPr>
          <w:rFonts w:ascii="Times New Roman" w:hAnsi="Times New Roman"/>
          <w:sz w:val="28"/>
          <w:szCs w:val="28"/>
        </w:rPr>
        <w:t xml:space="preserve">Новый </w:t>
      </w:r>
      <w:proofErr w:type="spellStart"/>
      <w:r>
        <w:rPr>
          <w:rFonts w:ascii="Times New Roman" w:hAnsi="Times New Roman"/>
          <w:sz w:val="28"/>
          <w:szCs w:val="28"/>
        </w:rPr>
        <w:t>Кувак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36466" w:rsidRP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ОПС </w:t>
      </w:r>
      <w:proofErr w:type="gramStart"/>
      <w:r w:rsidRPr="00B36466">
        <w:rPr>
          <w:rFonts w:ascii="Times New Roman" w:hAnsi="Times New Roman"/>
          <w:sz w:val="28"/>
          <w:szCs w:val="28"/>
        </w:rPr>
        <w:t>с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>;</w:t>
      </w:r>
    </w:p>
    <w:p w:rsid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ОПС </w:t>
      </w:r>
      <w:r w:rsidR="00A478F8">
        <w:rPr>
          <w:rFonts w:ascii="Times New Roman" w:hAnsi="Times New Roman"/>
          <w:sz w:val="28"/>
          <w:szCs w:val="28"/>
        </w:rPr>
        <w:t xml:space="preserve">с. Татарское </w:t>
      </w:r>
      <w:proofErr w:type="spellStart"/>
      <w:r w:rsidR="00A478F8">
        <w:rPr>
          <w:rFonts w:ascii="Times New Roman" w:hAnsi="Times New Roman"/>
          <w:sz w:val="28"/>
          <w:szCs w:val="28"/>
        </w:rPr>
        <w:t>Абдикеево</w:t>
      </w:r>
      <w:proofErr w:type="spellEnd"/>
      <w:r w:rsidRPr="00B36466">
        <w:rPr>
          <w:rFonts w:ascii="Times New Roman" w:hAnsi="Times New Roman"/>
          <w:sz w:val="28"/>
          <w:szCs w:val="28"/>
        </w:rPr>
        <w:t>;</w:t>
      </w:r>
    </w:p>
    <w:p w:rsidR="00A478F8" w:rsidRPr="00B36466" w:rsidRDefault="00A478F8" w:rsidP="00A478F8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ОПС </w:t>
      </w:r>
      <w:r>
        <w:rPr>
          <w:rFonts w:ascii="Times New Roman" w:hAnsi="Times New Roman"/>
          <w:sz w:val="28"/>
          <w:szCs w:val="28"/>
        </w:rPr>
        <w:t xml:space="preserve">с. Новый </w:t>
      </w:r>
      <w:proofErr w:type="spellStart"/>
      <w:r>
        <w:rPr>
          <w:rFonts w:ascii="Times New Roman" w:hAnsi="Times New Roman"/>
          <w:sz w:val="28"/>
          <w:szCs w:val="28"/>
        </w:rPr>
        <w:t>Кувак</w:t>
      </w:r>
      <w:proofErr w:type="spellEnd"/>
      <w:r w:rsidRPr="00B36466">
        <w:rPr>
          <w:rFonts w:ascii="Times New Roman" w:hAnsi="Times New Roman"/>
          <w:sz w:val="28"/>
          <w:szCs w:val="28"/>
        </w:rPr>
        <w:t>;</w:t>
      </w:r>
    </w:p>
    <w:p w:rsidR="00B36466" w:rsidRP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Офис врача общей практики </w:t>
      </w:r>
      <w:proofErr w:type="gramStart"/>
      <w:r w:rsidRPr="00B36466">
        <w:rPr>
          <w:rFonts w:ascii="Times New Roman" w:hAnsi="Times New Roman"/>
          <w:sz w:val="28"/>
          <w:szCs w:val="28"/>
        </w:rPr>
        <w:t>с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>;</w:t>
      </w:r>
    </w:p>
    <w:p w:rsidR="00B36466" w:rsidRPr="00B36466" w:rsidRDefault="00B36466" w:rsidP="00B36466">
      <w:pPr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- </w:t>
      </w:r>
      <w:r w:rsidR="00A478F8">
        <w:rPr>
          <w:rFonts w:ascii="Times New Roman" w:hAnsi="Times New Roman"/>
          <w:sz w:val="28"/>
          <w:szCs w:val="28"/>
        </w:rPr>
        <w:t>ФАП</w:t>
      </w:r>
      <w:r w:rsidRPr="00B36466">
        <w:rPr>
          <w:rFonts w:ascii="Times New Roman" w:hAnsi="Times New Roman"/>
          <w:sz w:val="28"/>
          <w:szCs w:val="28"/>
        </w:rPr>
        <w:t xml:space="preserve"> </w:t>
      </w:r>
      <w:r w:rsidR="00A478F8">
        <w:rPr>
          <w:rFonts w:ascii="Times New Roman" w:hAnsi="Times New Roman"/>
          <w:sz w:val="28"/>
          <w:szCs w:val="28"/>
        </w:rPr>
        <w:t>с</w:t>
      </w:r>
      <w:r w:rsidRPr="00B36466">
        <w:rPr>
          <w:rFonts w:ascii="Times New Roman" w:hAnsi="Times New Roman"/>
          <w:sz w:val="28"/>
          <w:szCs w:val="28"/>
        </w:rPr>
        <w:t xml:space="preserve">. </w:t>
      </w:r>
      <w:r w:rsidR="00A478F8">
        <w:rPr>
          <w:rFonts w:ascii="Times New Roman" w:hAnsi="Times New Roman"/>
          <w:sz w:val="28"/>
          <w:szCs w:val="28"/>
        </w:rPr>
        <w:t xml:space="preserve">Татарское </w:t>
      </w:r>
      <w:proofErr w:type="spellStart"/>
      <w:r w:rsidR="00A478F8">
        <w:rPr>
          <w:rFonts w:ascii="Times New Roman" w:hAnsi="Times New Roman"/>
          <w:sz w:val="28"/>
          <w:szCs w:val="28"/>
        </w:rPr>
        <w:t>Абдикеево</w:t>
      </w:r>
      <w:proofErr w:type="spellEnd"/>
      <w:r w:rsidRPr="00B36466">
        <w:rPr>
          <w:rFonts w:ascii="Times New Roman" w:hAnsi="Times New Roman"/>
          <w:sz w:val="28"/>
          <w:szCs w:val="28"/>
        </w:rPr>
        <w:t>.</w:t>
      </w:r>
    </w:p>
    <w:p w:rsidR="00B36466" w:rsidRDefault="00A478F8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Функционируют </w:t>
      </w:r>
      <w:r w:rsidR="00B36466" w:rsidRPr="00B36466">
        <w:rPr>
          <w:rFonts w:ascii="Times New Roman" w:hAnsi="Times New Roman"/>
          <w:sz w:val="28"/>
          <w:szCs w:val="28"/>
        </w:rPr>
        <w:t>Крестьянск</w:t>
      </w:r>
      <w:proofErr w:type="gramStart"/>
      <w:r w:rsidR="00B36466" w:rsidRPr="00B36466">
        <w:rPr>
          <w:rFonts w:ascii="Times New Roman" w:hAnsi="Times New Roman"/>
          <w:sz w:val="28"/>
          <w:szCs w:val="28"/>
        </w:rPr>
        <w:t>о-</w:t>
      </w:r>
      <w:proofErr w:type="gramEnd"/>
      <w:r w:rsidR="00B36466" w:rsidRPr="00B36466">
        <w:rPr>
          <w:rFonts w:ascii="Times New Roman" w:hAnsi="Times New Roman"/>
          <w:sz w:val="28"/>
          <w:szCs w:val="28"/>
        </w:rPr>
        <w:t xml:space="preserve"> фермерские хозяйства</w:t>
      </w:r>
      <w:r>
        <w:rPr>
          <w:rFonts w:ascii="Times New Roman" w:hAnsi="Times New Roman"/>
          <w:sz w:val="28"/>
          <w:szCs w:val="28"/>
        </w:rPr>
        <w:t xml:space="preserve"> (КФХ) </w:t>
      </w:r>
      <w:proofErr w:type="spellStart"/>
      <w:r>
        <w:rPr>
          <w:rFonts w:ascii="Times New Roman" w:hAnsi="Times New Roman"/>
          <w:sz w:val="28"/>
          <w:szCs w:val="28"/>
        </w:rPr>
        <w:t>Албекрова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О.Г., Громов А.В., КФХ Громов С.В., </w:t>
      </w:r>
      <w:r w:rsidR="00551724">
        <w:rPr>
          <w:rFonts w:ascii="Times New Roman" w:hAnsi="Times New Roman"/>
          <w:sz w:val="28"/>
          <w:szCs w:val="28"/>
        </w:rPr>
        <w:t>КФХ Краснов В.В., КФХ Романчук Н.Н.</w:t>
      </w:r>
    </w:p>
    <w:p w:rsidR="00551724" w:rsidRPr="00B36466" w:rsidRDefault="00551724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Сельхозпредприятия: ООО «Восход», ООО «</w:t>
      </w:r>
      <w:proofErr w:type="spellStart"/>
      <w:r>
        <w:rPr>
          <w:rFonts w:ascii="Times New Roman" w:hAnsi="Times New Roman"/>
          <w:sz w:val="28"/>
          <w:szCs w:val="28"/>
        </w:rPr>
        <w:t>Карабикулово</w:t>
      </w:r>
      <w:proofErr w:type="spellEnd"/>
      <w:r>
        <w:rPr>
          <w:rFonts w:ascii="Times New Roman" w:hAnsi="Times New Roman"/>
          <w:sz w:val="28"/>
          <w:szCs w:val="28"/>
        </w:rPr>
        <w:t>», СПК «Каменский», ООО СХП «</w:t>
      </w:r>
      <w:proofErr w:type="spellStart"/>
      <w:r>
        <w:rPr>
          <w:rFonts w:ascii="Times New Roman" w:hAnsi="Times New Roman"/>
          <w:sz w:val="28"/>
          <w:szCs w:val="28"/>
        </w:rPr>
        <w:t>КувакАгро</w:t>
      </w:r>
      <w:proofErr w:type="spellEnd"/>
      <w:r>
        <w:rPr>
          <w:rFonts w:ascii="Times New Roman" w:hAnsi="Times New Roman"/>
          <w:sz w:val="28"/>
          <w:szCs w:val="28"/>
        </w:rPr>
        <w:t xml:space="preserve">», ООО «Агрофирма» </w:t>
      </w:r>
      <w:proofErr w:type="spellStart"/>
      <w:r>
        <w:rPr>
          <w:rFonts w:ascii="Times New Roman" w:hAnsi="Times New Roman"/>
          <w:sz w:val="28"/>
          <w:szCs w:val="28"/>
        </w:rPr>
        <w:t>Колна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lastRenderedPageBreak/>
        <w:t xml:space="preserve">Электроснабжение объектов жилищного хозяйства и социальной сферы осуществляет ПАО "МРСК Волги" и АО «ССК» </w:t>
      </w:r>
      <w:proofErr w:type="spellStart"/>
      <w:r w:rsidRPr="00B364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B36466">
        <w:rPr>
          <w:rFonts w:ascii="Times New Roman" w:hAnsi="Times New Roman"/>
          <w:sz w:val="28"/>
          <w:szCs w:val="28"/>
        </w:rPr>
        <w:t xml:space="preserve"> участок СЭС.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На территории сельского </w:t>
      </w:r>
      <w:r w:rsidR="00B454F9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B454F9">
        <w:rPr>
          <w:rFonts w:ascii="Times New Roman" w:hAnsi="Times New Roman"/>
          <w:sz w:val="28"/>
          <w:szCs w:val="28"/>
        </w:rPr>
        <w:t>имеется</w:t>
      </w:r>
      <w:r w:rsidRPr="00B36466">
        <w:rPr>
          <w:rFonts w:ascii="Times New Roman" w:hAnsi="Times New Roman"/>
          <w:sz w:val="28"/>
          <w:szCs w:val="28"/>
        </w:rPr>
        <w:t xml:space="preserve"> централизованное водоснабжение </w:t>
      </w:r>
      <w:r w:rsidR="00B454F9">
        <w:rPr>
          <w:rFonts w:ascii="Times New Roman" w:hAnsi="Times New Roman"/>
          <w:sz w:val="28"/>
          <w:szCs w:val="28"/>
        </w:rPr>
        <w:t>отсутствует</w:t>
      </w:r>
      <w:proofErr w:type="gramEnd"/>
      <w:r w:rsidR="00B454F9">
        <w:rPr>
          <w:rFonts w:ascii="Times New Roman" w:hAnsi="Times New Roman"/>
          <w:sz w:val="28"/>
          <w:szCs w:val="28"/>
        </w:rPr>
        <w:t xml:space="preserve">. </w:t>
      </w:r>
      <w:r w:rsidRPr="00B36466">
        <w:rPr>
          <w:rFonts w:ascii="Times New Roman" w:hAnsi="Times New Roman"/>
          <w:sz w:val="28"/>
          <w:szCs w:val="28"/>
        </w:rPr>
        <w:t xml:space="preserve">Горячее водоснабжение отсутствует.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Газоснабжение в сельском поселении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 xml:space="preserve"> в </w:t>
      </w:r>
      <w:r w:rsidR="00B454F9">
        <w:rPr>
          <w:rFonts w:ascii="Times New Roman" w:hAnsi="Times New Roman"/>
          <w:sz w:val="28"/>
          <w:szCs w:val="28"/>
        </w:rPr>
        <w:t>4</w:t>
      </w:r>
      <w:r w:rsidRPr="00B36466">
        <w:rPr>
          <w:rFonts w:ascii="Times New Roman" w:hAnsi="Times New Roman"/>
          <w:sz w:val="28"/>
          <w:szCs w:val="28"/>
        </w:rPr>
        <w:t xml:space="preserve"> населенных пунктах, в </w:t>
      </w:r>
      <w:r w:rsidR="00B454F9">
        <w:rPr>
          <w:rFonts w:ascii="Times New Roman" w:hAnsi="Times New Roman"/>
          <w:sz w:val="28"/>
          <w:szCs w:val="28"/>
        </w:rPr>
        <w:t>одном</w:t>
      </w:r>
      <w:r w:rsidRPr="00B36466">
        <w:rPr>
          <w:rFonts w:ascii="Times New Roman" w:hAnsi="Times New Roman"/>
          <w:sz w:val="28"/>
          <w:szCs w:val="28"/>
        </w:rPr>
        <w:t xml:space="preserve"> используется печное отопление дровами.  </w:t>
      </w:r>
    </w:p>
    <w:p w:rsidR="00B36466" w:rsidRPr="00B36466" w:rsidRDefault="00B36466" w:rsidP="00B36466">
      <w:pPr>
        <w:pStyle w:val="a4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администрации 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>, так как повышение эффективности использования энергетических ресурсов при непрерывном росте цен на энергоресурсы позволяет добиться существенной экономии,  как энергетических ресурсов, так и финансовых  ресурсов.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В помещении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 xml:space="preserve"> водоснабжение и водоотведение отсутствует. Отопление газовое, используются индивидуальный газовый котел. Основными источниками потребления электроэнергии является оргтехника, освещение. В течени</w:t>
      </w:r>
      <w:proofErr w:type="gramStart"/>
      <w:r w:rsidRPr="00B36466">
        <w:rPr>
          <w:rFonts w:ascii="Times New Roman" w:hAnsi="Times New Roman"/>
          <w:sz w:val="28"/>
          <w:szCs w:val="28"/>
        </w:rPr>
        <w:t>и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последних лет производится постепенный переход на энергосберегающие лампы освещения. 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 xml:space="preserve"> установлено уличное освещение. В планах на 2021-2025 годы произвести замену старых светильников </w:t>
      </w:r>
      <w:proofErr w:type="gramStart"/>
      <w:r w:rsidRPr="00B36466">
        <w:rPr>
          <w:rFonts w:ascii="Times New Roman" w:hAnsi="Times New Roman"/>
          <w:sz w:val="28"/>
          <w:szCs w:val="28"/>
        </w:rPr>
        <w:t>на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энергосберегающие и подключить их к приборам коммерческого учета.</w:t>
      </w:r>
    </w:p>
    <w:p w:rsidR="00B36466" w:rsidRPr="00B36466" w:rsidRDefault="00B36466" w:rsidP="00B36466">
      <w:pPr>
        <w:pStyle w:val="a4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Программа энергосбережения должна обеспечить снижение потребления 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B36466" w:rsidRPr="00B36466" w:rsidRDefault="00B36466" w:rsidP="00B36466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B36466" w:rsidRPr="00B36466" w:rsidRDefault="00B36466" w:rsidP="00B36466">
      <w:pPr>
        <w:pStyle w:val="a4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466">
        <w:rPr>
          <w:rFonts w:ascii="Times New Roman" w:hAnsi="Times New Roman"/>
          <w:b/>
          <w:bCs/>
          <w:sz w:val="28"/>
          <w:szCs w:val="28"/>
        </w:rPr>
        <w:t>2. Цели и задачи, ожидаемые конечные результаты, сроки  и этапы реализации  муниципальной  Программы</w:t>
      </w:r>
    </w:p>
    <w:p w:rsidR="00B36466" w:rsidRPr="00B36466" w:rsidRDefault="00B36466" w:rsidP="00B36466">
      <w:pPr>
        <w:ind w:firstLine="708"/>
        <w:rPr>
          <w:rFonts w:ascii="Times New Roman" w:hAnsi="Times New Roman"/>
          <w:b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Целью муниципальной Программы  является</w:t>
      </w:r>
      <w:r w:rsidRPr="00B36466">
        <w:rPr>
          <w:rFonts w:ascii="Times New Roman" w:hAnsi="Times New Roman"/>
          <w:b/>
          <w:sz w:val="28"/>
          <w:szCs w:val="28"/>
        </w:rPr>
        <w:t>: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Снижение потребления топливно-энергетических ресурсов (ТЭР) за счет реализации энергосберегающих мероприятий на основе внедрения </w:t>
      </w:r>
      <w:proofErr w:type="spellStart"/>
      <w:r w:rsidRPr="00B36466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B36466">
        <w:rPr>
          <w:rFonts w:ascii="Times New Roman" w:hAnsi="Times New Roman"/>
          <w:sz w:val="28"/>
          <w:szCs w:val="28"/>
        </w:rPr>
        <w:t xml:space="preserve"> технологий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модернизация энергетического комплекса поселения, внедрение инновационных технологий в сфере энергосбережения и повышения энергетической эффективности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lastRenderedPageBreak/>
        <w:t xml:space="preserve">Для достижения указанной цели необходимо решить следующие </w:t>
      </w:r>
      <w:r w:rsidRPr="00B36466">
        <w:rPr>
          <w:rFonts w:ascii="Times New Roman" w:hAnsi="Times New Roman"/>
          <w:sz w:val="28"/>
          <w:szCs w:val="28"/>
          <w:u w:val="single"/>
        </w:rPr>
        <w:t>задачи</w:t>
      </w:r>
      <w:r w:rsidRPr="00B36466">
        <w:rPr>
          <w:rFonts w:ascii="Times New Roman" w:hAnsi="Times New Roman"/>
          <w:sz w:val="28"/>
          <w:szCs w:val="28"/>
        </w:rPr>
        <w:t>:</w:t>
      </w:r>
    </w:p>
    <w:p w:rsidR="00B36466" w:rsidRPr="00B36466" w:rsidRDefault="00B36466" w:rsidP="00B36466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проведение энергетических обследований в подведомственных бюджетных учреждениях, выявление дополнительных резервов энергосбережения</w:t>
      </w:r>
    </w:p>
    <w:p w:rsidR="00B36466" w:rsidRPr="00B36466" w:rsidRDefault="00B36466" w:rsidP="00B36466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обеспечение учета используемых энергоресурсов;</w:t>
      </w:r>
    </w:p>
    <w:p w:rsidR="00B36466" w:rsidRPr="00B36466" w:rsidRDefault="00B36466" w:rsidP="00B36466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снижение объема потребления энергоресурсов;</w:t>
      </w:r>
    </w:p>
    <w:p w:rsidR="00B36466" w:rsidRPr="00B36466" w:rsidRDefault="00B36466" w:rsidP="00B36466">
      <w:pPr>
        <w:pStyle w:val="ac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сокращение расходов на оплату энергоресурсов.</w:t>
      </w:r>
    </w:p>
    <w:p w:rsidR="00B36466" w:rsidRPr="00B36466" w:rsidRDefault="00B36466" w:rsidP="00B36466">
      <w:pPr>
        <w:ind w:firstLine="317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Реализация программы позволит: </w:t>
      </w:r>
    </w:p>
    <w:p w:rsidR="00B36466" w:rsidRPr="00B36466" w:rsidRDefault="00B36466" w:rsidP="00B36466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Экономия топливно-энергетических ресурсов;</w:t>
      </w:r>
    </w:p>
    <w:p w:rsidR="00B36466" w:rsidRPr="00B36466" w:rsidRDefault="00B36466" w:rsidP="00B36466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обеспечение учета всего объема потребляемых  энергетических ресурсов;</w:t>
      </w:r>
    </w:p>
    <w:p w:rsidR="00B36466" w:rsidRPr="00B36466" w:rsidRDefault="00B36466" w:rsidP="00B36466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снижение затрат на оплату энергоресурсов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Муниципальная программа рассчитана на 2021-2025 годы.   Реализация программы предусмотрена один этап.</w:t>
      </w:r>
    </w:p>
    <w:p w:rsidR="00B36466" w:rsidRPr="00B36466" w:rsidRDefault="00B36466" w:rsidP="00B3646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6466" w:rsidRPr="00B36466" w:rsidRDefault="00B36466" w:rsidP="00B364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6466">
        <w:rPr>
          <w:rFonts w:ascii="Times New Roman" w:hAnsi="Times New Roman"/>
          <w:b/>
          <w:bCs/>
          <w:sz w:val="28"/>
          <w:szCs w:val="28"/>
        </w:rPr>
        <w:t>3. Основные мероприятия муниципальной программы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 </w:t>
      </w:r>
    </w:p>
    <w:p w:rsidR="00B36466" w:rsidRPr="00B36466" w:rsidRDefault="00B36466" w:rsidP="00B36466">
      <w:pPr>
        <w:ind w:firstLine="539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>Программа предусматривает проведение следующих мероприятий:</w:t>
      </w:r>
    </w:p>
    <w:p w:rsidR="00B36466" w:rsidRPr="00B36466" w:rsidRDefault="00B36466" w:rsidP="00B36466">
      <w:pPr>
        <w:pStyle w:val="ConsPlusNormal"/>
        <w:numPr>
          <w:ilvl w:val="0"/>
          <w:numId w:val="3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 xml:space="preserve">Проведение энергетического аудита зданий, находящихся на балансе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Каменка</w:t>
      </w:r>
      <w:r w:rsidRPr="00B36466">
        <w:rPr>
          <w:rFonts w:ascii="Times New Roman" w:hAnsi="Times New Roman" w:cs="Times New Roman"/>
          <w:sz w:val="28"/>
          <w:szCs w:val="28"/>
        </w:rPr>
        <w:t>;</w:t>
      </w:r>
    </w:p>
    <w:p w:rsidR="00B36466" w:rsidRPr="00B36466" w:rsidRDefault="00B36466" w:rsidP="00B36466">
      <w:pPr>
        <w:pStyle w:val="ConsPlusNormal"/>
        <w:numPr>
          <w:ilvl w:val="0"/>
          <w:numId w:val="3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>Принятие нормативно правовых актов в области энергосбережения</w:t>
      </w:r>
    </w:p>
    <w:p w:rsidR="00B36466" w:rsidRPr="00B36466" w:rsidRDefault="00B36466" w:rsidP="00B3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>3. Реализация мероприятий по энергосбережению на объектах уличного освещения:</w:t>
      </w:r>
    </w:p>
    <w:p w:rsidR="00B36466" w:rsidRPr="00B36466" w:rsidRDefault="00B36466" w:rsidP="00B3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 xml:space="preserve">3.1. Замена светильников уличного освещения </w:t>
      </w:r>
      <w:proofErr w:type="gramStart"/>
      <w:r w:rsidRPr="00B364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6466">
        <w:rPr>
          <w:rFonts w:ascii="Times New Roman" w:hAnsi="Times New Roman" w:cs="Times New Roman"/>
          <w:sz w:val="28"/>
          <w:szCs w:val="28"/>
        </w:rPr>
        <w:t xml:space="preserve"> энергосберегающие;</w:t>
      </w:r>
    </w:p>
    <w:p w:rsidR="00B36466" w:rsidRPr="00B36466" w:rsidRDefault="00B36466" w:rsidP="00B3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>3.2. Установка приборов коммерческого учета электроэнергии для уличного освещения;</w:t>
      </w:r>
    </w:p>
    <w:p w:rsidR="00B36466" w:rsidRPr="00B36466" w:rsidRDefault="00B36466" w:rsidP="00B45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 xml:space="preserve">4. Реализация мероприятий по энергосбережению в здании </w:t>
      </w:r>
      <w:proofErr w:type="spellStart"/>
      <w:r w:rsidR="00B454F9">
        <w:rPr>
          <w:rFonts w:ascii="Times New Roman" w:hAnsi="Times New Roman" w:cs="Times New Roman"/>
          <w:sz w:val="28"/>
          <w:szCs w:val="28"/>
        </w:rPr>
        <w:t>Новокувакского</w:t>
      </w:r>
      <w:proofErr w:type="spellEnd"/>
      <w:r w:rsidRPr="00B36466">
        <w:rPr>
          <w:rFonts w:ascii="Times New Roman" w:hAnsi="Times New Roman" w:cs="Times New Roman"/>
          <w:sz w:val="28"/>
          <w:szCs w:val="28"/>
        </w:rPr>
        <w:t xml:space="preserve"> СДК:</w:t>
      </w:r>
    </w:p>
    <w:p w:rsidR="00B36466" w:rsidRPr="00B36466" w:rsidRDefault="00B36466" w:rsidP="00B3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 xml:space="preserve">4.1. Замена ламп накаливания </w:t>
      </w:r>
      <w:proofErr w:type="gramStart"/>
      <w:r w:rsidRPr="00B364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6466">
        <w:rPr>
          <w:rFonts w:ascii="Times New Roman" w:hAnsi="Times New Roman" w:cs="Times New Roman"/>
          <w:sz w:val="28"/>
          <w:szCs w:val="28"/>
        </w:rPr>
        <w:t xml:space="preserve"> светодиодные;</w:t>
      </w:r>
    </w:p>
    <w:p w:rsidR="00B36466" w:rsidRPr="00B36466" w:rsidRDefault="00B36466" w:rsidP="00B3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 xml:space="preserve">4.2. Утепление оконных </w:t>
      </w:r>
      <w:r w:rsidRPr="00B454F9">
        <w:rPr>
          <w:rFonts w:ascii="Times New Roman" w:hAnsi="Times New Roman" w:cs="Times New Roman"/>
          <w:sz w:val="28"/>
          <w:szCs w:val="28"/>
        </w:rPr>
        <w:t>проемов</w:t>
      </w:r>
      <w:r w:rsidR="00B454F9" w:rsidRPr="00B454F9">
        <w:rPr>
          <w:rFonts w:ascii="Times New Roman" w:hAnsi="Times New Roman" w:cs="Times New Roman"/>
          <w:sz w:val="28"/>
          <w:szCs w:val="28"/>
        </w:rPr>
        <w:t>, входной двери</w:t>
      </w:r>
      <w:r w:rsidRPr="00B454F9">
        <w:rPr>
          <w:rFonts w:ascii="Times New Roman" w:hAnsi="Times New Roman" w:cs="Times New Roman"/>
          <w:sz w:val="28"/>
          <w:szCs w:val="28"/>
        </w:rPr>
        <w:t>;</w:t>
      </w:r>
    </w:p>
    <w:p w:rsidR="00B36466" w:rsidRPr="00B36466" w:rsidRDefault="00B36466" w:rsidP="00B3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 xml:space="preserve">5. Реализация мероприятий по энергосбережению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Каменка</w:t>
      </w:r>
      <w:r w:rsidRPr="00B36466">
        <w:rPr>
          <w:rFonts w:ascii="Times New Roman" w:hAnsi="Times New Roman" w:cs="Times New Roman"/>
          <w:sz w:val="28"/>
          <w:szCs w:val="28"/>
        </w:rPr>
        <w:t>:</w:t>
      </w:r>
    </w:p>
    <w:p w:rsidR="00B36466" w:rsidRPr="00B36466" w:rsidRDefault="00B36466" w:rsidP="00B3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6466">
        <w:rPr>
          <w:rFonts w:ascii="Times New Roman" w:hAnsi="Times New Roman" w:cs="Times New Roman"/>
          <w:sz w:val="28"/>
          <w:szCs w:val="28"/>
        </w:rPr>
        <w:t>5.1. Утепление оконных проемов, входной двери.</w:t>
      </w:r>
    </w:p>
    <w:p w:rsidR="00B36466" w:rsidRPr="00B36466" w:rsidRDefault="00B36466" w:rsidP="00B3646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466">
        <w:rPr>
          <w:rFonts w:ascii="Times New Roman" w:hAnsi="Times New Roman" w:cs="Times New Roman"/>
          <w:bCs/>
          <w:sz w:val="28"/>
          <w:szCs w:val="28"/>
        </w:rPr>
        <w:t xml:space="preserve">План  реализации муниципальной программы представлен в приложении </w:t>
      </w:r>
    </w:p>
    <w:p w:rsidR="00B36466" w:rsidRPr="00B36466" w:rsidRDefault="00B36466" w:rsidP="00B36466">
      <w:pPr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№2 к муниципальной программе. </w:t>
      </w:r>
    </w:p>
    <w:p w:rsidR="00B36466" w:rsidRPr="00B36466" w:rsidRDefault="00B36466" w:rsidP="00B3646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646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6466" w:rsidRPr="00B36466" w:rsidRDefault="00B36466" w:rsidP="00B36466">
      <w:pPr>
        <w:pStyle w:val="ac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466">
        <w:rPr>
          <w:rFonts w:ascii="Times New Roman" w:hAnsi="Times New Roman"/>
          <w:b/>
          <w:bCs/>
          <w:sz w:val="28"/>
          <w:szCs w:val="28"/>
        </w:rPr>
        <w:lastRenderedPageBreak/>
        <w:t>Целевые показатели муниципальной Программы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36466">
        <w:rPr>
          <w:rFonts w:ascii="Times New Roman" w:hAnsi="Times New Roman"/>
          <w:bCs/>
          <w:sz w:val="28"/>
          <w:szCs w:val="28"/>
        </w:rPr>
        <w:t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Программы, выполнен в соответствии с разделом III «Расчет значений целевых показателей  муниципальных программ в области энергосбережения и повышения энергетической эффективности»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</w:t>
      </w:r>
      <w:proofErr w:type="gramEnd"/>
      <w:r w:rsidRPr="00B36466">
        <w:rPr>
          <w:rFonts w:ascii="Times New Roman" w:hAnsi="Times New Roman"/>
          <w:bCs/>
          <w:sz w:val="28"/>
          <w:szCs w:val="28"/>
        </w:rPr>
        <w:t xml:space="preserve"> 30.06.2014 № 399. 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1.  Общие целевые показатели в области энергосбережения и повышения энергетической эффективности 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Каменка</w:t>
      </w:r>
      <w:r w:rsidRPr="00B36466">
        <w:rPr>
          <w:rFonts w:ascii="Times New Roman" w:hAnsi="Times New Roman"/>
          <w:bCs/>
          <w:sz w:val="28"/>
          <w:szCs w:val="28"/>
        </w:rPr>
        <w:t xml:space="preserve"> рассчитываются следующим образом: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>1.1.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 сельского поселения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Д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.э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э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), определяется по формуле: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Д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.э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э</w:t>
      </w:r>
      <w:proofErr w:type="spell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B36466">
        <w:rPr>
          <w:rFonts w:ascii="Times New Roman" w:hAnsi="Times New Roman"/>
          <w:bCs/>
          <w:sz w:val="28"/>
          <w:szCs w:val="28"/>
        </w:rPr>
        <w:t>=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мо.ээ.учет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мо.ээ.учет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>) х 100 (%),</w:t>
      </w:r>
    </w:p>
    <w:p w:rsidR="00B36466" w:rsidRPr="00B36466" w:rsidRDefault="00B36466" w:rsidP="00B36466">
      <w:pPr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где: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мо.ээ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.у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чет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объем потребления (использования) на территории сельского поселения электрической энергии, расчеты за которую осуществляются с использованием приборов учета, тыс.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кВт·ч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 (в 2020 году  – 16,291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тыс.кВт.ч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);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мо.ээ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.у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чет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 общий объем потребления (использования) на территории сельского поселения электрической энергии, тыс.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кВт·ч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(в 2020 году – 67,141 тыс. кВт*ч);.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Д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.э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э</w:t>
      </w:r>
      <w:proofErr w:type="spell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B36466">
        <w:rPr>
          <w:rFonts w:ascii="Times New Roman" w:hAnsi="Times New Roman"/>
          <w:bCs/>
          <w:sz w:val="28"/>
          <w:szCs w:val="28"/>
        </w:rPr>
        <w:t>= (16,291/67,141) x 100 = 24,26%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>1.2. Доля объема природного газа, расчеты за которую осуществляются с использованием приборов учета, в общем объеме природного газа, потребляемого (используемого) на территории  сельского поселения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Д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.п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г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), определяется по формуле: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Д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.п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г</w:t>
      </w:r>
      <w:proofErr w:type="spell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B36466">
        <w:rPr>
          <w:rFonts w:ascii="Times New Roman" w:hAnsi="Times New Roman"/>
          <w:bCs/>
          <w:sz w:val="28"/>
          <w:szCs w:val="28"/>
        </w:rPr>
        <w:t>=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мо.пг.учет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мо.пг.учет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>) х 100 (%),</w:t>
      </w:r>
    </w:p>
    <w:p w:rsidR="00B36466" w:rsidRPr="00B36466" w:rsidRDefault="00B36466" w:rsidP="00B36466">
      <w:pPr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где: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lastRenderedPageBreak/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мо.пг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.у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чет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объем потребления (использования) на территории сельского поселения природного газа, расчеты за которую осуществляются с использованием приборов учета, тыс.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. (в 2020 году  – 35,829 тыс.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);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мо.пг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.у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чет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 общий объем потребления (использования) на территории сельского поселения природного газа, тыс.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. (в 2020 году  – 35,829 тыс.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);.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Д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.п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г</w:t>
      </w:r>
      <w:proofErr w:type="spell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B36466">
        <w:rPr>
          <w:rFonts w:ascii="Times New Roman" w:hAnsi="Times New Roman"/>
          <w:bCs/>
          <w:sz w:val="28"/>
          <w:szCs w:val="28"/>
        </w:rPr>
        <w:t>= (35,829/35,829) x 100 = 100%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2. Целевые показатели в области энергосбережения и повышения энергетической эффективности в 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Каменка</w:t>
      </w:r>
      <w:r w:rsidRPr="00B36466">
        <w:rPr>
          <w:rFonts w:ascii="Times New Roman" w:hAnsi="Times New Roman"/>
          <w:bCs/>
          <w:sz w:val="28"/>
          <w:szCs w:val="28"/>
        </w:rPr>
        <w:t xml:space="preserve"> рассчитываются следующим образом: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>2.1. Удельный расход электрической энергии на снабжение органов местного самоуправления и муниципальных учреждений (в расчете на 1 кв. метр общей площади)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У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ээ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) определяется по формуле: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У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ээ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=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мо.ээ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кВт·ч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>/кв. м),</w:t>
      </w:r>
    </w:p>
    <w:p w:rsidR="00B36466" w:rsidRPr="00B36466" w:rsidRDefault="00B36466" w:rsidP="00B36466">
      <w:pPr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где: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.э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э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 объем потребления электрической энергии в органах местного самоуправления и муниципальных учреждениях,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кВт·ч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(в 2020 году – 13 409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кВт.ч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);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площадь размещения органов местного самоуправления и муниципальных учреждений, кв. м (в 2020 году – 1694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).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У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ээ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= (13409 / 1694) = 7,91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кВт·ч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>/кв. м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>2.2. Удельный расход природного газа на снабжение органов местного самоуправления и муниципальных учреждений (в расчете на 1 кв. метр общей площади)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У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пг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) определяется по формуле: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У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пг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=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мо.пг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>/кв. м),</w:t>
      </w:r>
    </w:p>
    <w:p w:rsidR="00B36466" w:rsidRPr="00B36466" w:rsidRDefault="00B36466" w:rsidP="00B36466">
      <w:pPr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где: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ОП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.п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г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объем потребления природного газа в органах местного самоуправления и муниципальных учреждениях,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(в 2020 году – 35 829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); 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lastRenderedPageBreak/>
        <w:t>П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мо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- площадь размещения органов местного самоуправления и муниципальных учреждений, кв. м (в 2020 году – 1594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). </w:t>
      </w:r>
    </w:p>
    <w:p w:rsidR="00B36466" w:rsidRPr="00B36466" w:rsidRDefault="00B36466" w:rsidP="00B36466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B36466">
        <w:rPr>
          <w:rFonts w:ascii="Times New Roman" w:hAnsi="Times New Roman"/>
          <w:bCs/>
          <w:sz w:val="28"/>
          <w:szCs w:val="28"/>
        </w:rPr>
        <w:t>У</w:t>
      </w:r>
      <w:r w:rsidRPr="00B36466">
        <w:rPr>
          <w:rFonts w:ascii="Times New Roman" w:hAnsi="Times New Roman"/>
          <w:bCs/>
          <w:sz w:val="28"/>
          <w:szCs w:val="28"/>
          <w:vertAlign w:val="subscript"/>
        </w:rPr>
        <w:t>ээ</w:t>
      </w:r>
      <w:proofErr w:type="gramStart"/>
      <w:r w:rsidRPr="00B36466">
        <w:rPr>
          <w:rFonts w:ascii="Times New Roman" w:hAnsi="Times New Roman"/>
          <w:bCs/>
          <w:sz w:val="28"/>
          <w:szCs w:val="28"/>
          <w:vertAlign w:val="subscript"/>
        </w:rPr>
        <w:t>.м</w:t>
      </w:r>
      <w:proofErr w:type="gramEnd"/>
      <w:r w:rsidRPr="00B36466">
        <w:rPr>
          <w:rFonts w:ascii="Times New Roman" w:hAnsi="Times New Roman"/>
          <w:bCs/>
          <w:sz w:val="28"/>
          <w:szCs w:val="28"/>
          <w:vertAlign w:val="subscript"/>
        </w:rPr>
        <w:t>о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= (35829 / 1594) = 22,48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куб.м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>/кв. м.</w:t>
      </w:r>
    </w:p>
    <w:p w:rsidR="00B36466" w:rsidRPr="00B36466" w:rsidRDefault="00B36466" w:rsidP="00B3646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6466" w:rsidRPr="00B36466" w:rsidRDefault="00B36466" w:rsidP="00B3646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1" w:name="sub_50"/>
      <w:r w:rsidRPr="00B36466">
        <w:rPr>
          <w:rFonts w:ascii="Times New Roman" w:hAnsi="Times New Roman"/>
          <w:b/>
          <w:sz w:val="28"/>
          <w:szCs w:val="28"/>
        </w:rPr>
        <w:t>5.Ресурсное обеспечение муниципальной Программы</w:t>
      </w:r>
    </w:p>
    <w:p w:rsidR="00B36466" w:rsidRPr="00B36466" w:rsidRDefault="00B36466" w:rsidP="00B3646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Реализация Программы предусматривает привлечение </w:t>
      </w:r>
      <w:proofErr w:type="spellStart"/>
      <w:r w:rsidRPr="00B3646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36466">
        <w:rPr>
          <w:rFonts w:ascii="Times New Roman" w:hAnsi="Times New Roman"/>
          <w:sz w:val="28"/>
          <w:szCs w:val="28"/>
        </w:rPr>
        <w:t xml:space="preserve"> за счет средств федерального, областного бюджетов, бюджета муниципального района </w:t>
      </w:r>
      <w:proofErr w:type="spellStart"/>
      <w:r w:rsidRPr="00B364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B36466">
        <w:rPr>
          <w:rFonts w:ascii="Times New Roman" w:hAnsi="Times New Roman"/>
          <w:sz w:val="28"/>
          <w:szCs w:val="28"/>
        </w:rPr>
        <w:t xml:space="preserve"> и бюджета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 xml:space="preserve">, объем бюджетных </w:t>
      </w:r>
      <w:proofErr w:type="gramStart"/>
      <w:r w:rsidRPr="00B36466">
        <w:rPr>
          <w:rFonts w:ascii="Times New Roman" w:hAnsi="Times New Roman"/>
          <w:sz w:val="28"/>
          <w:szCs w:val="28"/>
        </w:rPr>
        <w:t>ассигнований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которых будет уточняться после подведения результатов конкурсных отборов. Уровень </w:t>
      </w:r>
      <w:proofErr w:type="spellStart"/>
      <w:r w:rsidRPr="00B3646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36466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>
        <w:rPr>
          <w:rFonts w:ascii="Times New Roman" w:hAnsi="Times New Roman"/>
          <w:sz w:val="28"/>
          <w:szCs w:val="28"/>
        </w:rPr>
        <w:t>Каменка</w:t>
      </w:r>
      <w:r w:rsidRPr="00B36466">
        <w:rPr>
          <w:rFonts w:ascii="Times New Roman" w:hAnsi="Times New Roman"/>
          <w:sz w:val="28"/>
          <w:szCs w:val="28"/>
        </w:rPr>
        <w:t xml:space="preserve"> будет определяться в каждом конкретном случае.</w:t>
      </w:r>
    </w:p>
    <w:p w:rsidR="00B36466" w:rsidRPr="00B36466" w:rsidRDefault="00B36466" w:rsidP="00B3646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>Общий объем финансирования муниципальной программы за счет средств местного бюджета за весь период ее реализации составляет 0 тыс. рублей.</w:t>
      </w:r>
    </w:p>
    <w:p w:rsidR="00B36466" w:rsidRPr="00B36466" w:rsidRDefault="00B36466" w:rsidP="00B36466">
      <w:pPr>
        <w:jc w:val="both"/>
        <w:rPr>
          <w:rFonts w:ascii="Times New Roman" w:hAnsi="Times New Roman"/>
          <w:bCs/>
          <w:sz w:val="28"/>
          <w:szCs w:val="28"/>
        </w:rPr>
      </w:pPr>
      <w:r w:rsidRPr="00B36466">
        <w:rPr>
          <w:rFonts w:ascii="Times New Roman" w:hAnsi="Times New Roman"/>
          <w:bCs/>
          <w:sz w:val="28"/>
          <w:szCs w:val="28"/>
        </w:rPr>
        <w:t xml:space="preserve">           Объем финансирования носит прогнозный характер и подлежит ежегодному уточнению в рамках подготовки проекта решения о бюджете сельского поселения </w:t>
      </w:r>
      <w:r>
        <w:rPr>
          <w:rFonts w:ascii="Times New Roman" w:hAnsi="Times New Roman"/>
          <w:bCs/>
          <w:sz w:val="28"/>
          <w:szCs w:val="28"/>
        </w:rPr>
        <w:t>Каменка</w:t>
      </w:r>
      <w:r w:rsidRPr="00B36466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B36466">
        <w:rPr>
          <w:rFonts w:ascii="Times New Roman" w:hAnsi="Times New Roman"/>
          <w:bCs/>
          <w:sz w:val="28"/>
          <w:szCs w:val="28"/>
        </w:rPr>
        <w:t>Шенталинский</w:t>
      </w:r>
      <w:proofErr w:type="spellEnd"/>
      <w:r w:rsidRPr="00B36466">
        <w:rPr>
          <w:rFonts w:ascii="Times New Roman" w:hAnsi="Times New Roman"/>
          <w:bCs/>
          <w:sz w:val="28"/>
          <w:szCs w:val="28"/>
        </w:rPr>
        <w:t xml:space="preserve"> на очередной год и плановый период.</w:t>
      </w:r>
    </w:p>
    <w:p w:rsidR="00B36466" w:rsidRPr="00B36466" w:rsidRDefault="00B36466" w:rsidP="00B3646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36466">
        <w:rPr>
          <w:rFonts w:ascii="Times New Roman" w:hAnsi="Times New Roman"/>
          <w:sz w:val="28"/>
          <w:szCs w:val="28"/>
        </w:rPr>
        <w:t xml:space="preserve">Данные о ресурсном обеспечении реализации Программы представлены </w:t>
      </w:r>
      <w:proofErr w:type="gramStart"/>
      <w:r w:rsidRPr="00B36466">
        <w:rPr>
          <w:rFonts w:ascii="Times New Roman" w:hAnsi="Times New Roman"/>
          <w:sz w:val="28"/>
          <w:szCs w:val="28"/>
        </w:rPr>
        <w:t>в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</w:t>
      </w:r>
    </w:p>
    <w:p w:rsidR="00B36466" w:rsidRPr="00B36466" w:rsidRDefault="00B36466" w:rsidP="00B36466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36466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B36466">
        <w:rPr>
          <w:rFonts w:ascii="Times New Roman" w:hAnsi="Times New Roman"/>
          <w:sz w:val="28"/>
          <w:szCs w:val="28"/>
        </w:rPr>
        <w:t xml:space="preserve"> 1.</w:t>
      </w:r>
    </w:p>
    <w:p w:rsidR="00B36466" w:rsidRPr="00B36466" w:rsidRDefault="00B36466" w:rsidP="00B3646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1"/>
    <w:p w:rsidR="00B36466" w:rsidRPr="00B36466" w:rsidRDefault="00B36466" w:rsidP="00B3646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B36466" w:rsidRPr="00B36466" w:rsidSect="006F52B5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  <w:lang w:val="ru-RU"/>
        </w:rPr>
        <w:t>к</w:t>
      </w:r>
      <w:r w:rsidRPr="00B36466">
        <w:rPr>
          <w:rFonts w:ascii="Times New Roman" w:hAnsi="Times New Roman"/>
          <w:sz w:val="24"/>
          <w:szCs w:val="24"/>
        </w:rPr>
        <w:t xml:space="preserve"> </w:t>
      </w:r>
      <w:r w:rsidRPr="00B36466">
        <w:rPr>
          <w:rFonts w:ascii="Times New Roman" w:hAnsi="Times New Roman"/>
          <w:sz w:val="24"/>
          <w:szCs w:val="24"/>
          <w:lang w:val="ru-RU"/>
        </w:rPr>
        <w:t>муниципальной программе «</w:t>
      </w:r>
      <w:r w:rsidRPr="00B36466">
        <w:rPr>
          <w:rFonts w:ascii="Times New Roman" w:hAnsi="Times New Roman"/>
          <w:sz w:val="24"/>
          <w:szCs w:val="24"/>
        </w:rPr>
        <w:t xml:space="preserve">Энергосбережение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 xml:space="preserve">и повышение энергетической эффективности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/>
          <w:sz w:val="24"/>
          <w:szCs w:val="24"/>
        </w:rPr>
        <w:t>Каменка</w:t>
      </w:r>
      <w:r w:rsidRPr="00B36466">
        <w:rPr>
          <w:rFonts w:ascii="Times New Roman" w:hAnsi="Times New Roman"/>
          <w:sz w:val="24"/>
          <w:szCs w:val="24"/>
        </w:rPr>
        <w:t xml:space="preserve">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36466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B36466">
        <w:rPr>
          <w:rFonts w:ascii="Times New Roman" w:hAnsi="Times New Roman"/>
          <w:sz w:val="24"/>
          <w:szCs w:val="24"/>
        </w:rPr>
        <w:t xml:space="preserve">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>Самарской области  на 2021-2025 годы</w:t>
      </w:r>
      <w:r w:rsidRPr="00B36466">
        <w:rPr>
          <w:rFonts w:ascii="Times New Roman" w:hAnsi="Times New Roman"/>
          <w:sz w:val="24"/>
          <w:szCs w:val="24"/>
          <w:lang w:val="ru-RU"/>
        </w:rPr>
        <w:t>»</w:t>
      </w:r>
    </w:p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36466" w:rsidRPr="00B36466" w:rsidRDefault="00B36466" w:rsidP="00B36466">
      <w:pPr>
        <w:ind w:right="-259"/>
        <w:jc w:val="center"/>
        <w:rPr>
          <w:rFonts w:ascii="Times New Roman" w:hAnsi="Times New Roman"/>
          <w:b/>
          <w:bCs/>
        </w:rPr>
      </w:pPr>
      <w:r w:rsidRPr="00B36466">
        <w:rPr>
          <w:rFonts w:ascii="Times New Roman" w:hAnsi="Times New Roman"/>
          <w:b/>
          <w:bCs/>
        </w:rPr>
        <w:t>Сведения о составе и значениях целевых показателей (индикаторов) Программы</w:t>
      </w:r>
    </w:p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1134"/>
        <w:gridCol w:w="992"/>
        <w:gridCol w:w="1134"/>
        <w:gridCol w:w="992"/>
        <w:gridCol w:w="992"/>
        <w:gridCol w:w="992"/>
        <w:gridCol w:w="993"/>
      </w:tblGrid>
      <w:tr w:rsidR="00B36466" w:rsidRPr="00B36466" w:rsidTr="0093020D">
        <w:trPr>
          <w:trHeight w:val="272"/>
        </w:trPr>
        <w:tc>
          <w:tcPr>
            <w:tcW w:w="7763" w:type="dxa"/>
            <w:vMerge w:val="restart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B36466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2020 (факт)</w:t>
            </w:r>
          </w:p>
        </w:tc>
        <w:tc>
          <w:tcPr>
            <w:tcW w:w="5103" w:type="dxa"/>
            <w:gridSpan w:val="5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Значения целевого показателя (план)</w:t>
            </w:r>
          </w:p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</w:tr>
      <w:tr w:rsidR="00B36466" w:rsidRPr="00B36466" w:rsidTr="0093020D">
        <w:trPr>
          <w:trHeight w:val="145"/>
        </w:trPr>
        <w:tc>
          <w:tcPr>
            <w:tcW w:w="7763" w:type="dxa"/>
            <w:vMerge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36466">
              <w:rPr>
                <w:rFonts w:ascii="Times New Roman" w:hAnsi="Times New Roman"/>
                <w:bCs/>
                <w:color w:val="000000"/>
                <w:spacing w:val="1"/>
              </w:rPr>
              <w:t>2021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36466">
              <w:rPr>
                <w:rFonts w:ascii="Times New Roman" w:hAnsi="Times New Roman"/>
                <w:bCs/>
                <w:color w:val="000000"/>
                <w:spacing w:val="1"/>
              </w:rPr>
              <w:t>2022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36466">
              <w:rPr>
                <w:rFonts w:ascii="Times New Roman" w:hAnsi="Times New Roman"/>
                <w:bCs/>
                <w:color w:val="000000"/>
                <w:spacing w:val="1"/>
              </w:rPr>
              <w:t>2023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36466">
              <w:rPr>
                <w:rFonts w:ascii="Times New Roman" w:hAnsi="Times New Roman"/>
                <w:bCs/>
                <w:color w:val="000000"/>
                <w:spacing w:val="1"/>
              </w:rPr>
              <w:t>2024</w:t>
            </w:r>
          </w:p>
        </w:tc>
        <w:tc>
          <w:tcPr>
            <w:tcW w:w="993" w:type="dxa"/>
          </w:tcPr>
          <w:p w:rsidR="00B36466" w:rsidRPr="00B36466" w:rsidRDefault="00B36466" w:rsidP="0093020D">
            <w:pPr>
              <w:widowControl w:val="0"/>
              <w:tabs>
                <w:tab w:val="left" w:pos="6078"/>
              </w:tabs>
              <w:spacing w:before="6"/>
              <w:ind w:right="-20"/>
              <w:jc w:val="center"/>
              <w:rPr>
                <w:rFonts w:ascii="Times New Roman" w:hAnsi="Times New Roman"/>
                <w:bCs/>
                <w:color w:val="000000"/>
                <w:spacing w:val="1"/>
              </w:rPr>
            </w:pPr>
            <w:r w:rsidRPr="00B36466">
              <w:rPr>
                <w:rFonts w:ascii="Times New Roman" w:hAnsi="Times New Roman"/>
                <w:bCs/>
                <w:color w:val="000000"/>
                <w:spacing w:val="1"/>
              </w:rPr>
              <w:t>2025</w:t>
            </w:r>
          </w:p>
        </w:tc>
      </w:tr>
      <w:tr w:rsidR="00B36466" w:rsidRPr="00B36466" w:rsidTr="0093020D">
        <w:trPr>
          <w:trHeight w:val="202"/>
        </w:trPr>
        <w:tc>
          <w:tcPr>
            <w:tcW w:w="7763" w:type="dxa"/>
          </w:tcPr>
          <w:p w:rsidR="00B36466" w:rsidRPr="00B36466" w:rsidRDefault="00B36466" w:rsidP="00B36466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B36466">
              <w:rPr>
                <w:rFonts w:ascii="Times New Roman" w:hAnsi="Times New Roman"/>
                <w:b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</w:tr>
      <w:tr w:rsidR="00B36466" w:rsidRPr="00B36466" w:rsidTr="0093020D">
        <w:trPr>
          <w:trHeight w:val="202"/>
        </w:trPr>
        <w:tc>
          <w:tcPr>
            <w:tcW w:w="7763" w:type="dxa"/>
          </w:tcPr>
          <w:p w:rsidR="00B36466" w:rsidRPr="00B36466" w:rsidRDefault="00B36466" w:rsidP="00B36466">
            <w:pPr>
              <w:pStyle w:val="ac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поселения;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24,26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24,26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50</w:t>
            </w:r>
          </w:p>
        </w:tc>
      </w:tr>
      <w:tr w:rsidR="00B36466" w:rsidRPr="00B36466" w:rsidTr="0093020D">
        <w:trPr>
          <w:trHeight w:val="272"/>
        </w:trPr>
        <w:tc>
          <w:tcPr>
            <w:tcW w:w="7763" w:type="dxa"/>
          </w:tcPr>
          <w:p w:rsidR="00B36466" w:rsidRPr="00B36466" w:rsidRDefault="00B36466" w:rsidP="00B36466">
            <w:pPr>
              <w:pStyle w:val="ac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100</w:t>
            </w:r>
          </w:p>
        </w:tc>
      </w:tr>
      <w:tr w:rsidR="00B36466" w:rsidRPr="00B36466" w:rsidTr="0093020D">
        <w:trPr>
          <w:trHeight w:val="272"/>
        </w:trPr>
        <w:tc>
          <w:tcPr>
            <w:tcW w:w="7763" w:type="dxa"/>
          </w:tcPr>
          <w:p w:rsidR="00B36466" w:rsidRPr="00B36466" w:rsidRDefault="00B36466" w:rsidP="00B36466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B36466">
              <w:rPr>
                <w:rFonts w:ascii="Times New Roman" w:hAnsi="Times New Roman"/>
                <w:b/>
                <w:shd w:val="clear" w:color="auto" w:fill="FFFFFF"/>
              </w:rPr>
              <w:t xml:space="preserve">Целевые показатели в области энергосбережения и повышения энергетической эффективности в </w:t>
            </w:r>
            <w:proofErr w:type="gramStart"/>
            <w:r w:rsidRPr="00B36466">
              <w:rPr>
                <w:rFonts w:ascii="Times New Roman" w:hAnsi="Times New Roman"/>
                <w:b/>
                <w:shd w:val="clear" w:color="auto" w:fill="FFFFFF"/>
              </w:rPr>
              <w:t>муниципальном</w:t>
            </w:r>
            <w:proofErr w:type="gramEnd"/>
          </w:p>
        </w:tc>
        <w:tc>
          <w:tcPr>
            <w:tcW w:w="1134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</w:tr>
      <w:tr w:rsidR="00B36466" w:rsidRPr="00B36466" w:rsidTr="0093020D">
        <w:trPr>
          <w:trHeight w:val="272"/>
        </w:trPr>
        <w:tc>
          <w:tcPr>
            <w:tcW w:w="7763" w:type="dxa"/>
          </w:tcPr>
          <w:p w:rsidR="00B36466" w:rsidRPr="00B36466" w:rsidRDefault="00B36466" w:rsidP="00B36466">
            <w:pPr>
              <w:pStyle w:val="ac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  <w:shd w:val="clear" w:color="auto" w:fill="FFFFFF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кВт/</w:t>
            </w:r>
            <w:proofErr w:type="gramStart"/>
            <w:r w:rsidRPr="00B36466">
              <w:rPr>
                <w:rFonts w:ascii="Times New Roman" w:hAnsi="Times New Roman"/>
              </w:rPr>
              <w:t>ч</w:t>
            </w:r>
            <w:proofErr w:type="gramEnd"/>
            <w:r w:rsidRPr="00B36466">
              <w:rPr>
                <w:rFonts w:ascii="Times New Roman" w:hAnsi="Times New Roman"/>
              </w:rPr>
              <w:t xml:space="preserve"> на </w:t>
            </w:r>
            <w:proofErr w:type="spellStart"/>
            <w:r w:rsidRPr="00B36466">
              <w:rPr>
                <w:rFonts w:ascii="Times New Roman" w:hAnsi="Times New Roman"/>
              </w:rPr>
              <w:t>кв.м</w:t>
            </w:r>
            <w:proofErr w:type="spellEnd"/>
            <w:r w:rsidRPr="00B3646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7,91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7,8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7,7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7,6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7,5</w:t>
            </w:r>
          </w:p>
        </w:tc>
        <w:tc>
          <w:tcPr>
            <w:tcW w:w="993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7,4</w:t>
            </w:r>
          </w:p>
        </w:tc>
      </w:tr>
      <w:tr w:rsidR="00B36466" w:rsidRPr="00B36466" w:rsidTr="0093020D">
        <w:trPr>
          <w:trHeight w:val="272"/>
        </w:trPr>
        <w:tc>
          <w:tcPr>
            <w:tcW w:w="7763" w:type="dxa"/>
          </w:tcPr>
          <w:p w:rsidR="00B36466" w:rsidRPr="00B36466" w:rsidRDefault="00B36466" w:rsidP="00B36466">
            <w:pPr>
              <w:pStyle w:val="ac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466">
              <w:rPr>
                <w:rFonts w:ascii="Times New Roman" w:hAnsi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тыс. м3 на </w:t>
            </w:r>
            <w:proofErr w:type="spellStart"/>
            <w:r w:rsidRPr="00B36466">
              <w:rPr>
                <w:rFonts w:ascii="Times New Roman" w:hAnsi="Times New Roman"/>
              </w:rPr>
              <w:t>кв.м</w:t>
            </w:r>
            <w:proofErr w:type="spellEnd"/>
            <w:r w:rsidRPr="00B3646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22,49</w:t>
            </w:r>
          </w:p>
        </w:tc>
        <w:tc>
          <w:tcPr>
            <w:tcW w:w="1134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21,5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21,0</w:t>
            </w:r>
          </w:p>
        </w:tc>
        <w:tc>
          <w:tcPr>
            <w:tcW w:w="992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20,5</w:t>
            </w:r>
          </w:p>
        </w:tc>
        <w:tc>
          <w:tcPr>
            <w:tcW w:w="993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20,0</w:t>
            </w:r>
          </w:p>
        </w:tc>
      </w:tr>
    </w:tbl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  <w:lang w:val="ru-RU"/>
        </w:rPr>
        <w:t>к</w:t>
      </w:r>
      <w:r w:rsidRPr="00B36466">
        <w:rPr>
          <w:rFonts w:ascii="Times New Roman" w:hAnsi="Times New Roman"/>
          <w:sz w:val="24"/>
          <w:szCs w:val="24"/>
        </w:rPr>
        <w:t xml:space="preserve"> </w:t>
      </w:r>
      <w:r w:rsidRPr="00B36466">
        <w:rPr>
          <w:rFonts w:ascii="Times New Roman" w:hAnsi="Times New Roman"/>
          <w:sz w:val="24"/>
          <w:szCs w:val="24"/>
          <w:lang w:val="ru-RU"/>
        </w:rPr>
        <w:t>муниципальной программе «</w:t>
      </w:r>
      <w:r w:rsidRPr="00B36466">
        <w:rPr>
          <w:rFonts w:ascii="Times New Roman" w:hAnsi="Times New Roman"/>
          <w:sz w:val="24"/>
          <w:szCs w:val="24"/>
        </w:rPr>
        <w:t xml:space="preserve">Энергосбережение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 xml:space="preserve">и повышение энергетической эффективности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/>
          <w:sz w:val="24"/>
          <w:szCs w:val="24"/>
        </w:rPr>
        <w:t>Каменка</w:t>
      </w:r>
      <w:r w:rsidRPr="00B36466">
        <w:rPr>
          <w:rFonts w:ascii="Times New Roman" w:hAnsi="Times New Roman"/>
          <w:sz w:val="24"/>
          <w:szCs w:val="24"/>
        </w:rPr>
        <w:t xml:space="preserve">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36466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B36466">
        <w:rPr>
          <w:rFonts w:ascii="Times New Roman" w:hAnsi="Times New Roman"/>
          <w:sz w:val="24"/>
          <w:szCs w:val="24"/>
        </w:rPr>
        <w:t xml:space="preserve">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>Самарской области  на 2021-2025 годы</w:t>
      </w:r>
      <w:r w:rsidRPr="00B36466">
        <w:rPr>
          <w:rFonts w:ascii="Times New Roman" w:hAnsi="Times New Roman"/>
          <w:sz w:val="24"/>
          <w:szCs w:val="24"/>
          <w:lang w:val="ru-RU"/>
        </w:rPr>
        <w:t>»</w:t>
      </w:r>
    </w:p>
    <w:p w:rsidR="00B36466" w:rsidRPr="00B36466" w:rsidRDefault="00B36466" w:rsidP="00B36466">
      <w:pPr>
        <w:pStyle w:val="af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6466">
        <w:rPr>
          <w:rFonts w:ascii="Times New Roman" w:hAnsi="Times New Roman"/>
          <w:b/>
          <w:sz w:val="24"/>
          <w:szCs w:val="24"/>
        </w:rPr>
        <w:t>Перечень основных мероприятий Программы</w:t>
      </w:r>
    </w:p>
    <w:p w:rsidR="00B36466" w:rsidRPr="00B36466" w:rsidRDefault="00B36466" w:rsidP="00B36466">
      <w:pPr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237"/>
        <w:gridCol w:w="1026"/>
        <w:gridCol w:w="7196"/>
      </w:tblGrid>
      <w:tr w:rsidR="00B36466" w:rsidRPr="00B36466" w:rsidTr="0093020D">
        <w:trPr>
          <w:trHeight w:val="883"/>
        </w:trPr>
        <w:tc>
          <w:tcPr>
            <w:tcW w:w="817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№ </w:t>
            </w:r>
            <w:proofErr w:type="gramStart"/>
            <w:r w:rsidRPr="00B36466">
              <w:rPr>
                <w:rFonts w:ascii="Times New Roman" w:hAnsi="Times New Roman"/>
              </w:rPr>
              <w:t>п</w:t>
            </w:r>
            <w:proofErr w:type="gramEnd"/>
            <w:r w:rsidRPr="00B36466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26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Срок</w:t>
            </w:r>
          </w:p>
        </w:tc>
        <w:tc>
          <w:tcPr>
            <w:tcW w:w="7196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B36466" w:rsidRPr="00B36466" w:rsidTr="0093020D">
        <w:trPr>
          <w:trHeight w:val="134"/>
        </w:trPr>
        <w:tc>
          <w:tcPr>
            <w:tcW w:w="817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энергетического аудита зданий, находящихся на балансе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2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7196" w:type="dxa"/>
            <w:vMerge w:val="restart"/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B36466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B36466">
              <w:rPr>
                <w:rFonts w:ascii="Times New Roman" w:hAnsi="Times New Roman"/>
                <w:sz w:val="24"/>
                <w:szCs w:val="24"/>
              </w:rPr>
              <w:t>. Исполнение Федерального закона</w:t>
            </w:r>
          </w:p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от 23 ноября 2009 года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36466" w:rsidRPr="00B36466" w:rsidTr="0093020D">
        <w:trPr>
          <w:trHeight w:val="134"/>
        </w:trPr>
        <w:tc>
          <w:tcPr>
            <w:tcW w:w="81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Принятие нормативно правовых актов в области энергосбережения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2021-2025</w:t>
            </w:r>
          </w:p>
        </w:tc>
        <w:tc>
          <w:tcPr>
            <w:tcW w:w="7196" w:type="dxa"/>
            <w:vMerge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66" w:rsidRPr="00B36466" w:rsidTr="0093020D">
        <w:trPr>
          <w:trHeight w:val="562"/>
        </w:trPr>
        <w:tc>
          <w:tcPr>
            <w:tcW w:w="817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энергосбережению на объектах уличного освещения: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9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66" w:rsidRPr="00B36466" w:rsidTr="0093020D">
        <w:trPr>
          <w:trHeight w:val="524"/>
        </w:trPr>
        <w:tc>
          <w:tcPr>
            <w:tcW w:w="817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освещения </w:t>
            </w:r>
            <w:proofErr w:type="gramStart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энергосберегающие;</w:t>
            </w:r>
          </w:p>
        </w:tc>
        <w:tc>
          <w:tcPr>
            <w:tcW w:w="1026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2021-2025</w:t>
            </w:r>
          </w:p>
        </w:tc>
        <w:tc>
          <w:tcPr>
            <w:tcW w:w="7196" w:type="dxa"/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Снижение объемов потребления электроэнергии</w:t>
            </w:r>
          </w:p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66" w:rsidRPr="00B36466" w:rsidTr="0093020D">
        <w:trPr>
          <w:trHeight w:val="559"/>
        </w:trPr>
        <w:tc>
          <w:tcPr>
            <w:tcW w:w="81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Установка приборов коммерческого учета электроэнергии для уличного освещения;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2021-2025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B36466" w:rsidRPr="00B36466" w:rsidRDefault="00B36466" w:rsidP="00B454F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Сокращение бюджетных расходов на оплату электроэнергии</w:t>
            </w:r>
          </w:p>
        </w:tc>
      </w:tr>
      <w:tr w:rsidR="00B36466" w:rsidRPr="00B36466" w:rsidTr="0093020D">
        <w:trPr>
          <w:trHeight w:val="562"/>
        </w:trPr>
        <w:tc>
          <w:tcPr>
            <w:tcW w:w="817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36466" w:rsidRPr="00B36466" w:rsidRDefault="00B36466" w:rsidP="00B45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энергосбережению в здании </w:t>
            </w:r>
            <w:proofErr w:type="spellStart"/>
            <w:r w:rsidR="00B454F9">
              <w:rPr>
                <w:rFonts w:ascii="Times New Roman" w:hAnsi="Times New Roman" w:cs="Times New Roman"/>
                <w:sz w:val="24"/>
                <w:szCs w:val="24"/>
              </w:rPr>
              <w:t>Новокувакского</w:t>
            </w:r>
            <w:proofErr w:type="spellEnd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 СДК: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9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66" w:rsidRPr="00B36466" w:rsidTr="0093020D">
        <w:trPr>
          <w:trHeight w:val="280"/>
        </w:trPr>
        <w:tc>
          <w:tcPr>
            <w:tcW w:w="817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светодиодные;</w:t>
            </w:r>
          </w:p>
        </w:tc>
        <w:tc>
          <w:tcPr>
            <w:tcW w:w="1026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2021-</w:t>
            </w:r>
            <w:r w:rsidRPr="00B36466">
              <w:rPr>
                <w:rFonts w:ascii="Times New Roman" w:hAnsi="Times New Roman"/>
              </w:rPr>
              <w:lastRenderedPageBreak/>
              <w:t>2025</w:t>
            </w:r>
          </w:p>
        </w:tc>
        <w:tc>
          <w:tcPr>
            <w:tcW w:w="7196" w:type="dxa"/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lastRenderedPageBreak/>
              <w:t>Снижение объемов потребления электроэнергии</w:t>
            </w:r>
          </w:p>
        </w:tc>
      </w:tr>
      <w:tr w:rsidR="00B36466" w:rsidRPr="00B36466" w:rsidTr="0093020D">
        <w:trPr>
          <w:trHeight w:val="251"/>
        </w:trPr>
        <w:tc>
          <w:tcPr>
            <w:tcW w:w="81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</w:t>
            </w:r>
            <w:r w:rsidR="00B45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4F9" w:rsidRPr="00B36466">
              <w:rPr>
                <w:rFonts w:ascii="Times New Roman" w:hAnsi="Times New Roman" w:cs="Times New Roman"/>
                <w:sz w:val="24"/>
                <w:szCs w:val="24"/>
              </w:rPr>
              <w:t>входной двери</w:t>
            </w: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2021-2025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Снижения объемов потребления природного газа на отопление.</w:t>
            </w:r>
          </w:p>
        </w:tc>
      </w:tr>
      <w:tr w:rsidR="00B36466" w:rsidRPr="00B36466" w:rsidTr="0093020D">
        <w:trPr>
          <w:trHeight w:val="473"/>
        </w:trPr>
        <w:tc>
          <w:tcPr>
            <w:tcW w:w="817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энергосбережению в здании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9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66" w:rsidRPr="00B36466" w:rsidTr="0093020D">
        <w:trPr>
          <w:trHeight w:val="557"/>
        </w:trPr>
        <w:tc>
          <w:tcPr>
            <w:tcW w:w="817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проемов, входной двери.</w:t>
            </w:r>
          </w:p>
        </w:tc>
        <w:tc>
          <w:tcPr>
            <w:tcW w:w="1026" w:type="dxa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2021-2025</w:t>
            </w:r>
          </w:p>
        </w:tc>
        <w:tc>
          <w:tcPr>
            <w:tcW w:w="7196" w:type="dxa"/>
          </w:tcPr>
          <w:p w:rsidR="00B36466" w:rsidRPr="00B36466" w:rsidRDefault="00B36466" w:rsidP="0093020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Снижения объемов потребления природного газа на отопление.</w:t>
            </w:r>
          </w:p>
        </w:tc>
      </w:tr>
    </w:tbl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54F9" w:rsidRDefault="00B454F9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3646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  <w:lang w:val="ru-RU"/>
        </w:rPr>
        <w:t>к</w:t>
      </w:r>
      <w:r w:rsidRPr="00B36466">
        <w:rPr>
          <w:rFonts w:ascii="Times New Roman" w:hAnsi="Times New Roman"/>
          <w:sz w:val="24"/>
          <w:szCs w:val="24"/>
        </w:rPr>
        <w:t xml:space="preserve"> </w:t>
      </w:r>
      <w:r w:rsidRPr="00B36466">
        <w:rPr>
          <w:rFonts w:ascii="Times New Roman" w:hAnsi="Times New Roman"/>
          <w:sz w:val="24"/>
          <w:szCs w:val="24"/>
          <w:lang w:val="ru-RU"/>
        </w:rPr>
        <w:t>муниципальной программе «</w:t>
      </w:r>
      <w:r w:rsidRPr="00B36466">
        <w:rPr>
          <w:rFonts w:ascii="Times New Roman" w:hAnsi="Times New Roman"/>
          <w:sz w:val="24"/>
          <w:szCs w:val="24"/>
        </w:rPr>
        <w:t xml:space="preserve">Энергосбережение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 xml:space="preserve">и повышение энергетической эффективности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hAnsi="Times New Roman"/>
          <w:sz w:val="24"/>
          <w:szCs w:val="24"/>
        </w:rPr>
        <w:t>Каменка</w:t>
      </w:r>
      <w:r w:rsidRPr="00B36466">
        <w:rPr>
          <w:rFonts w:ascii="Times New Roman" w:hAnsi="Times New Roman"/>
          <w:sz w:val="24"/>
          <w:szCs w:val="24"/>
        </w:rPr>
        <w:t xml:space="preserve">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B36466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B36466">
        <w:rPr>
          <w:rFonts w:ascii="Times New Roman" w:hAnsi="Times New Roman"/>
          <w:sz w:val="24"/>
          <w:szCs w:val="24"/>
        </w:rPr>
        <w:t xml:space="preserve"> </w:t>
      </w:r>
    </w:p>
    <w:p w:rsidR="00B36466" w:rsidRPr="00B36466" w:rsidRDefault="00B36466" w:rsidP="00B36466">
      <w:pPr>
        <w:pStyle w:val="af"/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B36466">
        <w:rPr>
          <w:rFonts w:ascii="Times New Roman" w:hAnsi="Times New Roman"/>
          <w:sz w:val="24"/>
          <w:szCs w:val="24"/>
        </w:rPr>
        <w:t>Самарской области  на 2021-2025 годы</w:t>
      </w:r>
      <w:r w:rsidRPr="00B36466">
        <w:rPr>
          <w:rFonts w:ascii="Times New Roman" w:hAnsi="Times New Roman"/>
          <w:sz w:val="24"/>
          <w:szCs w:val="24"/>
          <w:lang w:val="ru-RU"/>
        </w:rPr>
        <w:t>»</w:t>
      </w:r>
    </w:p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36466" w:rsidRPr="00B36466" w:rsidRDefault="00B36466" w:rsidP="00B36466">
      <w:pPr>
        <w:pStyle w:val="a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36466" w:rsidRPr="00B36466" w:rsidRDefault="00B36466" w:rsidP="00B36466">
      <w:pPr>
        <w:jc w:val="center"/>
        <w:rPr>
          <w:rFonts w:ascii="Times New Roman" w:hAnsi="Times New Roman"/>
          <w:b/>
        </w:rPr>
      </w:pPr>
      <w:r w:rsidRPr="00B36466">
        <w:rPr>
          <w:rFonts w:ascii="Times New Roman" w:hAnsi="Times New Roman"/>
          <w:b/>
        </w:rPr>
        <w:t>Объемы бюджетных ассигнований, необходимых для реализации Программы.</w:t>
      </w:r>
    </w:p>
    <w:p w:rsidR="00B36466" w:rsidRPr="00B36466" w:rsidRDefault="00B36466" w:rsidP="00B36466">
      <w:pPr>
        <w:rPr>
          <w:rFonts w:ascii="Times New Roman" w:hAnsi="Times New Roman"/>
          <w:b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3"/>
        <w:gridCol w:w="1276"/>
        <w:gridCol w:w="1276"/>
        <w:gridCol w:w="1417"/>
        <w:gridCol w:w="1418"/>
        <w:gridCol w:w="1276"/>
      </w:tblGrid>
      <w:tr w:rsidR="00B36466" w:rsidRPr="00B36466" w:rsidTr="0093020D">
        <w:trPr>
          <w:trHeight w:val="620"/>
        </w:trPr>
        <w:tc>
          <w:tcPr>
            <w:tcW w:w="675" w:type="dxa"/>
            <w:vMerge w:val="restart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 xml:space="preserve">№ </w:t>
            </w:r>
            <w:proofErr w:type="gramStart"/>
            <w:r w:rsidRPr="00B36466">
              <w:rPr>
                <w:rFonts w:ascii="Times New Roman" w:hAnsi="Times New Roman"/>
              </w:rPr>
              <w:t>п</w:t>
            </w:r>
            <w:proofErr w:type="gramEnd"/>
            <w:r w:rsidRPr="00B36466">
              <w:rPr>
                <w:rFonts w:ascii="Times New Roman" w:hAnsi="Times New Roman"/>
              </w:rPr>
              <w:t>/п</w:t>
            </w:r>
          </w:p>
        </w:tc>
        <w:tc>
          <w:tcPr>
            <w:tcW w:w="7513" w:type="dxa"/>
            <w:vMerge w:val="restart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663" w:type="dxa"/>
            <w:gridSpan w:val="5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Финансирование, тыс. руб.</w:t>
            </w:r>
          </w:p>
        </w:tc>
      </w:tr>
      <w:tr w:rsidR="00B36466" w:rsidRPr="00B36466" w:rsidTr="0093020D">
        <w:trPr>
          <w:trHeight w:val="161"/>
        </w:trPr>
        <w:tc>
          <w:tcPr>
            <w:tcW w:w="675" w:type="dxa"/>
            <w:vMerge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vMerge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vAlign w:val="center"/>
          </w:tcPr>
          <w:p w:rsidR="00B36466" w:rsidRPr="00B36466" w:rsidRDefault="00B36466" w:rsidP="0093020D">
            <w:pPr>
              <w:jc w:val="center"/>
              <w:rPr>
                <w:rFonts w:ascii="Times New Roman" w:hAnsi="Times New Roman"/>
              </w:rPr>
            </w:pPr>
            <w:r w:rsidRPr="00B36466">
              <w:rPr>
                <w:rFonts w:ascii="Times New Roman" w:hAnsi="Times New Roman"/>
              </w:rPr>
              <w:t>2025</w:t>
            </w:r>
          </w:p>
        </w:tc>
      </w:tr>
      <w:tr w:rsidR="00B36466" w:rsidRPr="00B36466" w:rsidTr="0093020D">
        <w:trPr>
          <w:trHeight w:val="134"/>
        </w:trPr>
        <w:tc>
          <w:tcPr>
            <w:tcW w:w="675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энергетического аудита зданий, находящихся на балансе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66" w:rsidRPr="00B36466" w:rsidTr="0093020D">
        <w:trPr>
          <w:trHeight w:val="134"/>
        </w:trPr>
        <w:tc>
          <w:tcPr>
            <w:tcW w:w="675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Принятие нормативно правовых актов в области энергосбережения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66" w:rsidRPr="00B36466" w:rsidTr="0093020D">
        <w:trPr>
          <w:trHeight w:val="456"/>
        </w:trPr>
        <w:tc>
          <w:tcPr>
            <w:tcW w:w="675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энергосбережению на объектах уличного освещения: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66" w:rsidRPr="00B36466" w:rsidTr="0093020D">
        <w:trPr>
          <w:trHeight w:val="280"/>
        </w:trPr>
        <w:tc>
          <w:tcPr>
            <w:tcW w:w="675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13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уличного освещения </w:t>
            </w:r>
            <w:proofErr w:type="gramStart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энергосберегающие;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66" w:rsidRPr="00B36466" w:rsidTr="0093020D">
        <w:trPr>
          <w:trHeight w:val="602"/>
        </w:trPr>
        <w:tc>
          <w:tcPr>
            <w:tcW w:w="675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Установка приборов коммерческого учета электроэнергии для уличного освещения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66" w:rsidRPr="00B36466" w:rsidTr="0093020D">
        <w:trPr>
          <w:trHeight w:val="438"/>
        </w:trPr>
        <w:tc>
          <w:tcPr>
            <w:tcW w:w="675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B36466" w:rsidRPr="00B36466" w:rsidRDefault="00B36466" w:rsidP="00B45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энергосбережению в здании </w:t>
            </w:r>
            <w:proofErr w:type="spellStart"/>
            <w:r w:rsidR="00B454F9">
              <w:rPr>
                <w:rFonts w:ascii="Times New Roman" w:hAnsi="Times New Roman" w:cs="Times New Roman"/>
                <w:sz w:val="24"/>
                <w:szCs w:val="24"/>
              </w:rPr>
              <w:t>Новокувакского</w:t>
            </w:r>
            <w:proofErr w:type="spellEnd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 СДК: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66" w:rsidRPr="00B36466" w:rsidTr="0093020D">
        <w:trPr>
          <w:trHeight w:val="280"/>
        </w:trPr>
        <w:tc>
          <w:tcPr>
            <w:tcW w:w="675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513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светодиодные;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66" w:rsidRPr="00B36466" w:rsidTr="0093020D">
        <w:trPr>
          <w:trHeight w:val="344"/>
        </w:trPr>
        <w:tc>
          <w:tcPr>
            <w:tcW w:w="675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</w:t>
            </w:r>
            <w:r w:rsidR="00B45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4F9"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двери</w:t>
            </w:r>
            <w:r w:rsidR="00B4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6466" w:rsidRPr="00B36466" w:rsidTr="0093020D">
        <w:trPr>
          <w:trHeight w:val="452"/>
        </w:trPr>
        <w:tc>
          <w:tcPr>
            <w:tcW w:w="675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энергосбережению в здании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66" w:rsidRPr="00B36466" w:rsidTr="0093020D">
        <w:trPr>
          <w:trHeight w:val="355"/>
        </w:trPr>
        <w:tc>
          <w:tcPr>
            <w:tcW w:w="675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513" w:type="dxa"/>
          </w:tcPr>
          <w:p w:rsidR="00B36466" w:rsidRPr="00B36466" w:rsidRDefault="00B36466" w:rsidP="0093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6"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проемов, входной двери.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6466" w:rsidRPr="00B36466" w:rsidRDefault="00B36466" w:rsidP="0093020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3912" w:rsidRPr="00B454F9" w:rsidRDefault="00053912" w:rsidP="00B3646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053912" w:rsidRPr="00B454F9" w:rsidSect="00B454F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4F" w:rsidRDefault="00A7504F">
      <w:pPr>
        <w:spacing w:after="0" w:line="240" w:lineRule="auto"/>
      </w:pPr>
      <w:r>
        <w:separator/>
      </w:r>
    </w:p>
  </w:endnote>
  <w:endnote w:type="continuationSeparator" w:id="0">
    <w:p w:rsidR="00A7504F" w:rsidRDefault="00A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4F" w:rsidRDefault="00A7504F">
      <w:pPr>
        <w:spacing w:after="0" w:line="240" w:lineRule="auto"/>
      </w:pPr>
      <w:r>
        <w:separator/>
      </w:r>
    </w:p>
  </w:footnote>
  <w:footnote w:type="continuationSeparator" w:id="0">
    <w:p w:rsidR="00A7504F" w:rsidRDefault="00A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B5" w:rsidRDefault="00A7504F">
    <w:pPr>
      <w:pStyle w:val="a9"/>
      <w:jc w:val="center"/>
    </w:pPr>
  </w:p>
  <w:p w:rsidR="007E70F7" w:rsidRDefault="00A750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5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8">
    <w:nsid w:val="1EC510E5"/>
    <w:multiLevelType w:val="multilevel"/>
    <w:tmpl w:val="B6F44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5230A7"/>
    <w:multiLevelType w:val="hybridMultilevel"/>
    <w:tmpl w:val="3626DB90"/>
    <w:lvl w:ilvl="0" w:tplc="9D9004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DD0B60"/>
    <w:multiLevelType w:val="multilevel"/>
    <w:tmpl w:val="4EA2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90155"/>
    <w:multiLevelType w:val="hybridMultilevel"/>
    <w:tmpl w:val="70D05418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1481"/>
    <w:multiLevelType w:val="multilevel"/>
    <w:tmpl w:val="9FFC1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B4304"/>
    <w:multiLevelType w:val="multilevel"/>
    <w:tmpl w:val="812AB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7">
    <w:nsid w:val="3486420A"/>
    <w:multiLevelType w:val="multilevel"/>
    <w:tmpl w:val="944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A759C"/>
    <w:multiLevelType w:val="hybridMultilevel"/>
    <w:tmpl w:val="853A77E2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513832"/>
    <w:multiLevelType w:val="multilevel"/>
    <w:tmpl w:val="49022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A80508C"/>
    <w:multiLevelType w:val="multilevel"/>
    <w:tmpl w:val="A7F28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2654B"/>
    <w:multiLevelType w:val="hybridMultilevel"/>
    <w:tmpl w:val="63368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25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7133EB"/>
    <w:multiLevelType w:val="multilevel"/>
    <w:tmpl w:val="D7CC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2EEA"/>
    <w:multiLevelType w:val="multilevel"/>
    <w:tmpl w:val="2B2ECF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F66F0"/>
    <w:multiLevelType w:val="multilevel"/>
    <w:tmpl w:val="AA784D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0">
    <w:nsid w:val="60FE2F07"/>
    <w:multiLevelType w:val="multilevel"/>
    <w:tmpl w:val="B44C3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AD244ED"/>
    <w:multiLevelType w:val="hybridMultilevel"/>
    <w:tmpl w:val="F7843C52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71BC0"/>
    <w:multiLevelType w:val="hybridMultilevel"/>
    <w:tmpl w:val="8426318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81AFD"/>
    <w:multiLevelType w:val="multilevel"/>
    <w:tmpl w:val="642C6084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5" w:hanging="19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19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9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9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9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9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9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C1B63F3"/>
    <w:multiLevelType w:val="hybridMultilevel"/>
    <w:tmpl w:val="6B0071C0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6"/>
  </w:num>
  <w:num w:numId="8">
    <w:abstractNumId w:val="4"/>
  </w:num>
  <w:num w:numId="9">
    <w:abstractNumId w:val="7"/>
  </w:num>
  <w:num w:numId="10">
    <w:abstractNumId w:val="10"/>
  </w:num>
  <w:num w:numId="11">
    <w:abstractNumId w:val="24"/>
  </w:num>
  <w:num w:numId="12">
    <w:abstractNumId w:val="29"/>
  </w:num>
  <w:num w:numId="13">
    <w:abstractNumId w:val="6"/>
  </w:num>
  <w:num w:numId="14">
    <w:abstractNumId w:val="5"/>
  </w:num>
  <w:num w:numId="15">
    <w:abstractNumId w:val="9"/>
  </w:num>
  <w:num w:numId="16">
    <w:abstractNumId w:val="25"/>
  </w:num>
  <w:num w:numId="17">
    <w:abstractNumId w:val="23"/>
  </w:num>
  <w:num w:numId="18">
    <w:abstractNumId w:val="12"/>
  </w:num>
  <w:num w:numId="19">
    <w:abstractNumId w:val="22"/>
  </w:num>
  <w:num w:numId="20">
    <w:abstractNumId w:val="26"/>
  </w:num>
  <w:num w:numId="21">
    <w:abstractNumId w:val="30"/>
  </w:num>
  <w:num w:numId="22">
    <w:abstractNumId w:val="15"/>
  </w:num>
  <w:num w:numId="23">
    <w:abstractNumId w:val="8"/>
  </w:num>
  <w:num w:numId="24">
    <w:abstractNumId w:val="28"/>
  </w:num>
  <w:num w:numId="25">
    <w:abstractNumId w:val="27"/>
  </w:num>
  <w:num w:numId="26">
    <w:abstractNumId w:val="17"/>
  </w:num>
  <w:num w:numId="27">
    <w:abstractNumId w:val="14"/>
  </w:num>
  <w:num w:numId="28">
    <w:abstractNumId w:val="2"/>
  </w:num>
  <w:num w:numId="29">
    <w:abstractNumId w:val="31"/>
  </w:num>
  <w:num w:numId="30">
    <w:abstractNumId w:val="3"/>
  </w:num>
  <w:num w:numId="31">
    <w:abstractNumId w:val="11"/>
  </w:num>
  <w:num w:numId="32">
    <w:abstractNumId w:val="32"/>
  </w:num>
  <w:num w:numId="33">
    <w:abstractNumId w:val="33"/>
  </w:num>
  <w:num w:numId="34">
    <w:abstractNumId w:val="19"/>
  </w:num>
  <w:num w:numId="35">
    <w:abstractNumId w:val="35"/>
  </w:num>
  <w:num w:numId="36">
    <w:abstractNumId w:val="21"/>
  </w:num>
  <w:num w:numId="37">
    <w:abstractNumId w:val="1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DF"/>
    <w:rsid w:val="00005B53"/>
    <w:rsid w:val="00007D53"/>
    <w:rsid w:val="0004725F"/>
    <w:rsid w:val="00053463"/>
    <w:rsid w:val="00053912"/>
    <w:rsid w:val="0006378D"/>
    <w:rsid w:val="000737A6"/>
    <w:rsid w:val="00086775"/>
    <w:rsid w:val="000902F9"/>
    <w:rsid w:val="000A01CF"/>
    <w:rsid w:val="000A1E1C"/>
    <w:rsid w:val="000A5D2D"/>
    <w:rsid w:val="000B0868"/>
    <w:rsid w:val="000B432B"/>
    <w:rsid w:val="000C4A56"/>
    <w:rsid w:val="000C599F"/>
    <w:rsid w:val="000E1877"/>
    <w:rsid w:val="000F3D54"/>
    <w:rsid w:val="0011116C"/>
    <w:rsid w:val="0011158F"/>
    <w:rsid w:val="0011750C"/>
    <w:rsid w:val="00147230"/>
    <w:rsid w:val="00152E5E"/>
    <w:rsid w:val="001604CF"/>
    <w:rsid w:val="00175612"/>
    <w:rsid w:val="0018067C"/>
    <w:rsid w:val="001825C9"/>
    <w:rsid w:val="001923B2"/>
    <w:rsid w:val="00195DE7"/>
    <w:rsid w:val="001C27D5"/>
    <w:rsid w:val="001C3104"/>
    <w:rsid w:val="001C77DA"/>
    <w:rsid w:val="001F7489"/>
    <w:rsid w:val="001F7EBB"/>
    <w:rsid w:val="0020345D"/>
    <w:rsid w:val="00221EB2"/>
    <w:rsid w:val="00222C36"/>
    <w:rsid w:val="00241C09"/>
    <w:rsid w:val="002527C3"/>
    <w:rsid w:val="00296D1A"/>
    <w:rsid w:val="002B6FB4"/>
    <w:rsid w:val="002C5D77"/>
    <w:rsid w:val="002D55DB"/>
    <w:rsid w:val="002E0300"/>
    <w:rsid w:val="002F3786"/>
    <w:rsid w:val="002F64F3"/>
    <w:rsid w:val="00301126"/>
    <w:rsid w:val="00305232"/>
    <w:rsid w:val="00315B00"/>
    <w:rsid w:val="00340CF8"/>
    <w:rsid w:val="00355183"/>
    <w:rsid w:val="003717D9"/>
    <w:rsid w:val="00372917"/>
    <w:rsid w:val="00373FF3"/>
    <w:rsid w:val="003800C5"/>
    <w:rsid w:val="003812C5"/>
    <w:rsid w:val="00391F91"/>
    <w:rsid w:val="003B3390"/>
    <w:rsid w:val="003B55A8"/>
    <w:rsid w:val="003E134B"/>
    <w:rsid w:val="00406970"/>
    <w:rsid w:val="0041551C"/>
    <w:rsid w:val="00467387"/>
    <w:rsid w:val="00471020"/>
    <w:rsid w:val="00473E0F"/>
    <w:rsid w:val="004808DB"/>
    <w:rsid w:val="00490347"/>
    <w:rsid w:val="00496708"/>
    <w:rsid w:val="004A1052"/>
    <w:rsid w:val="004C3EF2"/>
    <w:rsid w:val="004D1A7A"/>
    <w:rsid w:val="004D3598"/>
    <w:rsid w:val="004D58FF"/>
    <w:rsid w:val="004D59D9"/>
    <w:rsid w:val="004D5B20"/>
    <w:rsid w:val="004E3B8E"/>
    <w:rsid w:val="004F4A93"/>
    <w:rsid w:val="004F7C21"/>
    <w:rsid w:val="005070F0"/>
    <w:rsid w:val="005108EB"/>
    <w:rsid w:val="005116C5"/>
    <w:rsid w:val="005243A0"/>
    <w:rsid w:val="00527019"/>
    <w:rsid w:val="00536DEC"/>
    <w:rsid w:val="0054156A"/>
    <w:rsid w:val="0054312A"/>
    <w:rsid w:val="00550FA5"/>
    <w:rsid w:val="00551724"/>
    <w:rsid w:val="005554B0"/>
    <w:rsid w:val="00574079"/>
    <w:rsid w:val="005C2D00"/>
    <w:rsid w:val="005C5EAB"/>
    <w:rsid w:val="005F2C64"/>
    <w:rsid w:val="00602E48"/>
    <w:rsid w:val="0060685C"/>
    <w:rsid w:val="00645B7D"/>
    <w:rsid w:val="00653773"/>
    <w:rsid w:val="00657004"/>
    <w:rsid w:val="00662873"/>
    <w:rsid w:val="0066313A"/>
    <w:rsid w:val="006A5889"/>
    <w:rsid w:val="006A7718"/>
    <w:rsid w:val="006C4E11"/>
    <w:rsid w:val="006D13DF"/>
    <w:rsid w:val="006E23BC"/>
    <w:rsid w:val="006E4CFD"/>
    <w:rsid w:val="006F5C2D"/>
    <w:rsid w:val="00715CD6"/>
    <w:rsid w:val="00731D27"/>
    <w:rsid w:val="007341E4"/>
    <w:rsid w:val="00736791"/>
    <w:rsid w:val="00771FFF"/>
    <w:rsid w:val="0079737D"/>
    <w:rsid w:val="007B07A2"/>
    <w:rsid w:val="007C277E"/>
    <w:rsid w:val="007C2847"/>
    <w:rsid w:val="007D4394"/>
    <w:rsid w:val="007E4210"/>
    <w:rsid w:val="007E5E76"/>
    <w:rsid w:val="007F0E8A"/>
    <w:rsid w:val="007F773A"/>
    <w:rsid w:val="00800F2D"/>
    <w:rsid w:val="00811A67"/>
    <w:rsid w:val="00863593"/>
    <w:rsid w:val="00870861"/>
    <w:rsid w:val="00880C82"/>
    <w:rsid w:val="00891364"/>
    <w:rsid w:val="0089401E"/>
    <w:rsid w:val="008A3A65"/>
    <w:rsid w:val="008C3CEE"/>
    <w:rsid w:val="008C6558"/>
    <w:rsid w:val="008C6C95"/>
    <w:rsid w:val="008D067E"/>
    <w:rsid w:val="00914C76"/>
    <w:rsid w:val="00915FA5"/>
    <w:rsid w:val="00933C1B"/>
    <w:rsid w:val="0094701A"/>
    <w:rsid w:val="00954D8C"/>
    <w:rsid w:val="00956B8A"/>
    <w:rsid w:val="009901F0"/>
    <w:rsid w:val="0099531B"/>
    <w:rsid w:val="009A1BF6"/>
    <w:rsid w:val="009C520F"/>
    <w:rsid w:val="009D62DA"/>
    <w:rsid w:val="009D6CE9"/>
    <w:rsid w:val="009E5E47"/>
    <w:rsid w:val="009F4009"/>
    <w:rsid w:val="00A009F0"/>
    <w:rsid w:val="00A14692"/>
    <w:rsid w:val="00A27779"/>
    <w:rsid w:val="00A33DDF"/>
    <w:rsid w:val="00A478F8"/>
    <w:rsid w:val="00A712A3"/>
    <w:rsid w:val="00A7504F"/>
    <w:rsid w:val="00A8583F"/>
    <w:rsid w:val="00A86FDC"/>
    <w:rsid w:val="00A875B8"/>
    <w:rsid w:val="00AF4563"/>
    <w:rsid w:val="00B158DA"/>
    <w:rsid w:val="00B175EF"/>
    <w:rsid w:val="00B23154"/>
    <w:rsid w:val="00B36466"/>
    <w:rsid w:val="00B3799A"/>
    <w:rsid w:val="00B454F9"/>
    <w:rsid w:val="00B5128D"/>
    <w:rsid w:val="00B636B0"/>
    <w:rsid w:val="00B65CC3"/>
    <w:rsid w:val="00B660AB"/>
    <w:rsid w:val="00B67EC6"/>
    <w:rsid w:val="00BB22BA"/>
    <w:rsid w:val="00BE17CB"/>
    <w:rsid w:val="00BF4FD8"/>
    <w:rsid w:val="00BF5D57"/>
    <w:rsid w:val="00C0680C"/>
    <w:rsid w:val="00C23A74"/>
    <w:rsid w:val="00C31AE6"/>
    <w:rsid w:val="00C370B6"/>
    <w:rsid w:val="00C53521"/>
    <w:rsid w:val="00C53D0A"/>
    <w:rsid w:val="00C53F4D"/>
    <w:rsid w:val="00C60074"/>
    <w:rsid w:val="00C62F99"/>
    <w:rsid w:val="00C66A7F"/>
    <w:rsid w:val="00C75E29"/>
    <w:rsid w:val="00C93205"/>
    <w:rsid w:val="00CA5849"/>
    <w:rsid w:val="00CC6A10"/>
    <w:rsid w:val="00CC6E90"/>
    <w:rsid w:val="00CF05C4"/>
    <w:rsid w:val="00CF3F83"/>
    <w:rsid w:val="00D02DBF"/>
    <w:rsid w:val="00D05E08"/>
    <w:rsid w:val="00D151DC"/>
    <w:rsid w:val="00D22647"/>
    <w:rsid w:val="00D45F3D"/>
    <w:rsid w:val="00D507E8"/>
    <w:rsid w:val="00D65DFD"/>
    <w:rsid w:val="00D77F97"/>
    <w:rsid w:val="00DA16DD"/>
    <w:rsid w:val="00DA2A82"/>
    <w:rsid w:val="00DA4396"/>
    <w:rsid w:val="00DC18E1"/>
    <w:rsid w:val="00DC4D71"/>
    <w:rsid w:val="00DD10FE"/>
    <w:rsid w:val="00DD1F6B"/>
    <w:rsid w:val="00DF1864"/>
    <w:rsid w:val="00DF4855"/>
    <w:rsid w:val="00E301AE"/>
    <w:rsid w:val="00E324E4"/>
    <w:rsid w:val="00E44A55"/>
    <w:rsid w:val="00E64AB6"/>
    <w:rsid w:val="00E707CE"/>
    <w:rsid w:val="00E74AEF"/>
    <w:rsid w:val="00E92559"/>
    <w:rsid w:val="00EA5D71"/>
    <w:rsid w:val="00EB1CFD"/>
    <w:rsid w:val="00EC338D"/>
    <w:rsid w:val="00EC3474"/>
    <w:rsid w:val="00F00F78"/>
    <w:rsid w:val="00F0468C"/>
    <w:rsid w:val="00F079D8"/>
    <w:rsid w:val="00F54575"/>
    <w:rsid w:val="00F6291B"/>
    <w:rsid w:val="00F62C95"/>
    <w:rsid w:val="00F71977"/>
    <w:rsid w:val="00F8449D"/>
    <w:rsid w:val="00F927C3"/>
    <w:rsid w:val="00FA007C"/>
    <w:rsid w:val="00FC20BA"/>
    <w:rsid w:val="00FD2E16"/>
    <w:rsid w:val="00FD5B68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3DDF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36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ody Text"/>
    <w:basedOn w:val="a0"/>
    <w:link w:val="a6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9">
    <w:name w:val="header"/>
    <w:basedOn w:val="a0"/>
    <w:link w:val="aa"/>
    <w:uiPriority w:val="9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rsid w:val="001923B2"/>
    <w:rPr>
      <w:b/>
      <w:bCs/>
      <w:color w:val="008000"/>
      <w:u w:val="single"/>
    </w:rPr>
  </w:style>
  <w:style w:type="paragraph" w:styleId="ac">
    <w:name w:val="List Paragraph"/>
    <w:basedOn w:val="a0"/>
    <w:uiPriority w:val="34"/>
    <w:qFormat/>
    <w:rsid w:val="00053463"/>
    <w:pPr>
      <w:ind w:left="720"/>
      <w:contextualSpacing/>
    </w:pPr>
  </w:style>
  <w:style w:type="paragraph" w:customStyle="1" w:styleId="consplusnormal1">
    <w:name w:val="consplusnormal"/>
    <w:basedOn w:val="a0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No Spacing"/>
    <w:uiPriority w:val="99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2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locked/>
    <w:rsid w:val="000A5D2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A5D2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msonormal0">
    <w:name w:val="msonormal"/>
    <w:basedOn w:val="a1"/>
    <w:rsid w:val="00891364"/>
  </w:style>
  <w:style w:type="paragraph" w:customStyle="1" w:styleId="a">
    <w:name w:val="Заговок главы Знак"/>
    <w:basedOn w:val="a0"/>
    <w:rsid w:val="00891364"/>
    <w:pPr>
      <w:numPr>
        <w:numId w:val="30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">
    <w:name w:val="Текст пункта Знак Знак1 Знак Знак Знак Знак Знак"/>
    <w:basedOn w:val="a0"/>
    <w:rsid w:val="00891364"/>
    <w:pPr>
      <w:numPr>
        <w:ilvl w:val="1"/>
        <w:numId w:val="30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6">
    <w:name w:val="Font Style16"/>
    <w:uiPriority w:val="99"/>
    <w:rsid w:val="00891364"/>
    <w:rPr>
      <w:rFonts w:ascii="Courier New" w:hAnsi="Courier New" w:cs="Courier New"/>
      <w:sz w:val="22"/>
      <w:szCs w:val="22"/>
    </w:rPr>
  </w:style>
  <w:style w:type="character" w:customStyle="1" w:styleId="blk">
    <w:name w:val="blk"/>
    <w:basedOn w:val="a1"/>
    <w:rsid w:val="00891364"/>
  </w:style>
  <w:style w:type="character" w:customStyle="1" w:styleId="20">
    <w:name w:val="Заголовок 2 Знак"/>
    <w:basedOn w:val="a1"/>
    <w:link w:val="2"/>
    <w:uiPriority w:val="9"/>
    <w:semiHidden/>
    <w:rsid w:val="00B36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364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B36466"/>
  </w:style>
  <w:style w:type="paragraph" w:customStyle="1" w:styleId="af">
    <w:name w:val="Стиль пункта схемы"/>
    <w:basedOn w:val="a0"/>
    <w:link w:val="af0"/>
    <w:rsid w:val="00B36466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/>
      <w:sz w:val="28"/>
      <w:szCs w:val="28"/>
      <w:lang w:val="x-none" w:eastAsia="ar-SA"/>
    </w:rPr>
  </w:style>
  <w:style w:type="character" w:customStyle="1" w:styleId="af0">
    <w:name w:val="Стиль пункта схемы Знак"/>
    <w:link w:val="af"/>
    <w:locked/>
    <w:rsid w:val="00B36466"/>
    <w:rPr>
      <w:rFonts w:ascii="Arial" w:eastAsia="Times New Roman" w:hAnsi="Arial" w:cs="Times New Roman"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62FC-ABE5-456F-A51D-A3C0B2A5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14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195</cp:revision>
  <cp:lastPrinted>2021-05-18T12:26:00Z</cp:lastPrinted>
  <dcterms:created xsi:type="dcterms:W3CDTF">2013-09-11T11:34:00Z</dcterms:created>
  <dcterms:modified xsi:type="dcterms:W3CDTF">2021-05-21T10:14:00Z</dcterms:modified>
</cp:coreProperties>
</file>