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28555" cy="6576695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7800" cy="6576120"/>
                        </a:xfrm>
                        <a:prstGeom prst="rect">
                          <a:avLst/>
                        </a:prstGeom>
                        <a:solidFill>
                          <a:srgbClr val="fef3c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" fillcolor="#fef3cd" stroked="f" style="position:absolute;margin-left:0pt;margin-top:0pt;width:789.55pt;height:517.75pt;mso-position-horizontal-relative:page;mso-position-vertical-relative:page">
                <w10:wrap type="none"/>
                <v:fill o:detectmouseclick="t" type="solid" color2="#010c32"/>
                <v:stroke color="#3465a4" joinstyle="round" endcap="flat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exact" w:line="1"/>
        <w:rPr/>
      </w:pPr>
      <w:r>
        <w:rPr/>
        <w:drawing>
          <wp:anchor behindDoc="0" distT="38100" distB="38100" distL="76200" distR="76200" simplePos="0" locked="0" layoutInCell="0" allowOverlap="1" relativeHeight="3">
            <wp:simplePos x="0" y="0"/>
            <wp:positionH relativeFrom="page">
              <wp:posOffset>115570</wp:posOffset>
            </wp:positionH>
            <wp:positionV relativeFrom="paragraph">
              <wp:posOffset>12700</wp:posOffset>
            </wp:positionV>
            <wp:extent cx="3523615" cy="2103120"/>
            <wp:effectExtent l="0" t="0" r="0" b="0"/>
            <wp:wrapSquare wrapText="largest"/>
            <wp:docPr id="2" name="Shap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0" w:after="260"/>
        <w:rPr/>
      </w:pPr>
      <w:r>
        <w:rPr>
          <w:color w:val="BD100F"/>
        </w:rPr>
        <w:t xml:space="preserve">Профилактика: </w:t>
      </w:r>
      <w:r>
        <w:rPr/>
        <w:t>Множественность типов возбудителя ящура, разнообразный механизм передали и широкий диапазон восприимчивых животных представляют собой основные проблемы борьбы с ящуром. Система противоящурных мероприятий в нашей стране базируется на научно обоснованном прогнозировании эпизоотической ситуации, предусматривает зональный принцип их осуществления. Приоритетными в системе являются общие ветеринарно-санитарные меры по предотвращению заноса вируса ящура,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 Для иммунопрофилактики ящура и борьбы с эпизоотиями в неблагополучных и непосредственно угрожаемых хозяйствах разработаны и применяются инактивированные вакцины с профилактической целью, а также для вынужденной обработки животных в неблагополучных и угрожаемых по ящуру зонах.</w:t>
      </w:r>
    </w:p>
    <w:p>
      <w:pPr>
        <w:pStyle w:val="1"/>
        <w:spacing w:before="0" w:after="0"/>
        <w:rPr/>
      </w:pPr>
      <w:r>
        <w:rPr>
          <w:color w:val="BD100F"/>
        </w:rPr>
        <w:t xml:space="preserve">Меры борьбы: </w:t>
      </w:r>
      <w:r>
        <w:rPr/>
        <w:t>при возникновении ящура мероприятия по ликвидации его определяются эпизоотической обстановкой, географическими условиями, методом ведения животноводства, уровнем развития страны и др. С учетом этого меры борьбы с ящуром в разных странах можно разделить на четыре направления.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298" w:leader="none"/>
        </w:tabs>
        <w:spacing w:before="0" w:after="0"/>
        <w:rPr/>
      </w:pPr>
      <w:r>
        <w:rPr/>
        <w:t xml:space="preserve">Радикальный метод борьбы с ящуром (так называемый </w:t>
      </w:r>
      <w:r>
        <w:rPr>
          <w:lang w:val="en-US" w:eastAsia="en-US" w:bidi="en-US"/>
        </w:rPr>
        <w:t>stamping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out</w:t>
      </w:r>
      <w:r>
        <w:rPr>
          <w:lang w:eastAsia="en-US" w:bidi="en-US"/>
        </w:rPr>
        <w:t xml:space="preserve">), </w:t>
      </w:r>
      <w:r>
        <w:rPr/>
        <w:t>заключается в немедленном убое</w:t>
      </w: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6461760</wp:posOffset>
            </wp:positionH>
            <wp:positionV relativeFrom="paragraph">
              <wp:posOffset>22225</wp:posOffset>
            </wp:positionV>
            <wp:extent cx="3474720" cy="2340610"/>
            <wp:effectExtent l="0" t="0" r="0" b="0"/>
            <wp:wrapSquare wrapText="bothSides"/>
            <wp:docPr id="3" name="Shap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>всех больных, подозрительных по заболеванию и подозреваемых в заражении восприимчивых животных и отказе от вакцинации. Данный метод применяют в развитых благополучных странах при первичном появлении болезни. Этот метод может позволить полностью ликвидировать ящур в первичном очаге.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289" w:leader="none"/>
        </w:tabs>
        <w:spacing w:before="0" w:after="0"/>
        <w:rPr/>
      </w:pPr>
      <w:r>
        <w:rPr/>
        <w:t>Отказ от профилактической иммунизации животных, а в случае возникновения ящура убой (уничтожение) животных в очаге и проведение вынужденней вакцинации вокруг очага инфекции.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294" w:leader="none"/>
        </w:tabs>
        <w:spacing w:before="0" w:after="0"/>
        <w:rPr/>
      </w:pPr>
      <w:r>
        <w:rPr/>
        <w:t>Систематическая профилактическая иммунизация восприимчивых животных в угрожаемых зонах. При возникновении ящура убой (уничтожение) больных и проведение кольцевой вакцинации вокруг очага инфекции (успешно применяется в нашей стране).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298" w:leader="none"/>
        </w:tabs>
        <w:spacing w:before="0" w:after="260"/>
        <w:rPr/>
      </w:pPr>
      <w:r>
        <w:rPr/>
        <w:t>Комплексный метод борьбы с ящуром,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санитарно-карантинных мероприятий. Комплексный метод применяют в зонах, ранее неблагополучных по ящуру, в пограничных зонах, особенно при угрозе заноса ящура, в зонах действия институтов и предприятий, занятых изготовлением противоящурных биопрепаратов. В случае возникновения ящура больных и подозрительных по заболеванию животных изолируют или убивают. Неблагополучную зону карантинируют, всех животных в угрожаемой зоне иммунизируют. Этот метод следует считать наиболее эффективным, так как мероприятия направлены на все звенья эпизоотической цели.</w:t>
      </w:r>
    </w:p>
    <w:p>
      <w:pPr>
        <w:pStyle w:val="1"/>
        <w:spacing w:before="0" w:after="140"/>
        <w:jc w:val="center"/>
        <w:rPr>
          <w:sz w:val="24"/>
          <w:szCs w:val="24"/>
        </w:rPr>
      </w:pPr>
      <w:r>
        <w:rPr>
          <w:b/>
          <w:bCs/>
          <w:color w:val="BD100F"/>
          <w:sz w:val="24"/>
          <w:szCs w:val="24"/>
        </w:rPr>
        <w:t>Телефон</w:t>
      </w:r>
      <w:r>
        <w:rPr>
          <w:b/>
          <w:bCs/>
          <w:color w:val="BD100F"/>
          <w:sz w:val="24"/>
          <w:szCs w:val="24"/>
        </w:rPr>
        <w:t>ы</w:t>
      </w:r>
      <w:r>
        <w:rPr>
          <w:b/>
          <w:bCs/>
          <w:color w:val="BD100F"/>
          <w:sz w:val="24"/>
          <w:szCs w:val="24"/>
        </w:rPr>
        <w:t xml:space="preserve"> горячий линии по Самарской области при подозрении заболевания животных инфекционными заболеваниями                     8(846)951-00-31</w:t>
      </w:r>
      <w:r>
        <w:rPr>
          <w:b/>
          <w:bCs/>
          <w:color w:val="BD100F"/>
          <w:sz w:val="24"/>
          <w:szCs w:val="24"/>
        </w:rPr>
        <w:t xml:space="preserve">; </w:t>
      </w:r>
      <w:r>
        <w:rPr>
          <w:b/>
          <w:bCs/>
          <w:color w:val="BD100F"/>
          <w:sz w:val="24"/>
          <w:szCs w:val="24"/>
          <w:lang w:val="en-US"/>
        </w:rPr>
        <w:t>8(846)951-00-21</w:t>
      </w:r>
    </w:p>
    <w:sectPr>
      <w:type w:val="nextPage"/>
      <w:pgSz w:orient="landscape" w:w="15791" w:h="10355"/>
      <w:pgMar w:left="143" w:right="177" w:header="0" w:top="767" w:footer="0" w:bottom="54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pPr>
      <w:spacing w:before="0" w:after="200"/>
    </w:pPr>
    <w:rPr>
      <w:rFonts w:ascii="Times New Roman" w:hAnsi="Times New Roman" w:eastAsia="Times New Roman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350</Words>
  <Characters>2555</Characters>
  <CharactersWithSpaces>2914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2022-08-12T07:07:00Z</dcterms:created>
  <dc:creator>1_2</dc:creator>
  <dc:description/>
  <dc:language>ru-RU</dc:language>
  <cp:lastModifiedBy/>
  <dcterms:modified xsi:type="dcterms:W3CDTF">2022-08-12T11:15:28Z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